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word/theme/theme1.xml" ContentType="application/vnd.openxmlformats-officedocument.them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vanish/>
          <w:sz w:val="30"/>
          <w:szCs w:val="30"/>
        </w:rPr>
        <w:t>SEC FORM 3</w:t>
      </w: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30"/>
          <w:szCs w:val="30"/>
        </w:rPr>
        <w:t>SEC Form 3</w:t>
      </w:r>
    </w:p>
    <w:tbl>
      <w:tblPr>
        <w:tblW w:w="5000" w:type="pct"/>
        <w:jc w:val="left"/>
        <w:tblCellSpacing w:w="0" w:type="dxa"/>
        <w:tblInd w:w="0" w:type="dxa"/>
        <w:tblBorders>
          <w:top w:val="nil"/>
          <w:left w:val="nil"/>
          <w:bottom w:val="nil"/>
          <w:right w:val="nil"/>
          <w:insideH w:val="nil"/>
          <w:insideV w:val="nil"/>
        </w:tblBorders>
        <w:tblCellMar>
          <w:top w:w="60" w:type="dxa"/>
          <w:left w:w="60" w:type="dxa"/>
          <w:bottom w:w="60" w:type="dxa"/>
          <w:right w:w="60" w:type="dxa"/>
        </w:tblCellMar>
      </w:tblPr>
      <w:tr>
        <w:tc>
          <w:tcPr>
            <w:tcW w:w="1000" w:type="pct"/>
            <w:gridSpan w:val="2"/>
            <w:vAlign w:val="top"/>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FORM 3</w:t>
            </w:r>
          </w:p>
        </w:tc>
        <w:tc>
          <w:tcPr>
            <w:tcW w:w="3000" w:type="pct"/>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UNITED STATES SECURITIES AND EXCHANGE COMMISSION</w:t>
            </w:r>
            <w:r>
              <w:br/>
            </w:r>
            <w:r>
              <w:rPr>
                <w:rFonts w:ascii="Times New Roman" w:eastAsia="Times New Roman" w:hAnsi="Times New Roman" w:cs="Times New Roman"/>
                <w:sz w:val="30"/>
                <w:szCs w:val="30"/>
              </w:rPr>
              <w:t>Washington, D.C. 20549</w:t>
            </w:r>
            <w:r>
              <w:br/>
            </w:r>
            <w:r>
              <w:br/>
            </w:r>
            <w:r>
              <w:rPr>
                <w:rFonts w:ascii="Times New Roman" w:eastAsia="Times New Roman" w:hAnsi="Times New Roman" w:cs="Times New Roman"/>
                <w:sz w:val="30"/>
                <w:szCs w:val="30"/>
              </w:rPr>
              <w:t>INITIAL STATEMENT OF BENEFICIAL OWNERSHIP OF SECURITIES</w:t>
            </w:r>
            <w:r>
              <w:br/>
            </w:r>
            <w:r>
              <w:br/>
            </w:r>
            <w:r>
              <w:rPr>
                <w:rFonts w:ascii="Times New Roman" w:eastAsia="Times New Roman" w:hAnsi="Times New Roman" w:cs="Times New Roman"/>
                <w:sz w:val="30"/>
                <w:szCs w:val="30"/>
              </w:rPr>
              <w:t>Filed pursuant to Section 16(a) of the Securities Exchange Act of 1934</w:t>
            </w:r>
            <w:r>
              <w:br/>
            </w:r>
            <w:r>
              <w:rPr>
                <w:rFonts w:ascii="Times New Roman" w:eastAsia="Times New Roman" w:hAnsi="Times New Roman" w:cs="Times New Roman"/>
                <w:sz w:val="30"/>
                <w:szCs w:val="30"/>
              </w:rPr>
              <w:t>or Section 30(h) of the Investment Company Act of 1940</w:t>
            </w:r>
          </w:p>
        </w:tc>
        <w:tc>
          <w:tcPr>
            <w:tcW w:w="1000" w:type="pct"/>
            <w:vAlign w:val="top"/>
          </w:tcPr>
          <w:tbl>
            <w:tblPr>
              <w:tblStyle w:val="Table Grid"/>
              <w:tblW w:w="5000" w:type="pct"/>
              <w:jc w:val="center"/>
              <w:tblCellSpacing w:w="30" w:type="dxa"/>
              <w:tblBorders>
                <w:top w:val="single" w:sz="8" w:color="808080"/>
                <w:left w:val="single" w:sz="8" w:color="808080"/>
                <w:bottom w:val="single" w:sz="8" w:color="808080"/>
                <w:right w:val="single" w:sz="8" w:color="808080"/>
                <w:insideH w:val="single" w:sz="8" w:color="808080"/>
                <w:insideV w:val="single" w:sz="8" w:color="808080"/>
              </w:tblBorders>
              <w:tblDescription w:val="OMB Approval Status Box"/>
              <w:tblLook w:firstRow="1" w:lastRow="0" w:firstColumn="1" w:lastColumn="0" w:noHBand="0" w:noVBand="1" w:val="04A0"/>
            </w:tblPr>
            <w:tr>
              <w:trPr>
                <w:cnfStyle w:val="000000000000"/>
              </w:trPr>
              <w:tc>
                <w:tcPr>
                  <w:cnfStyle w:val="000000000000"/>
                  <w:vAlign w:val="center"/>
                </w:tcPr>
                <w:p>
                  <w:pPr>
                    <w:cnfStyle w:val="000000000000"/>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OMB APPROVAL</w:t>
                  </w:r>
                </w:p>
              </w:tc>
            </w:tr>
            <w:tr>
              <w:trPr>
                <w:cnfStyle w:val="000000000000"/>
              </w:trPr>
              <w:tc>
                <w:tcPr>
                  <w:cnfStyle w:val="000000000000"/>
                  <w:vAlign w:val="center"/>
                </w:tcPr>
                <w:tbl>
                  <w:tblPr>
                    <w:tblW w:w="5000" w:type="pct"/>
                    <w:jc w:val="center"/>
                    <w:tblCellSpacing w:w="30" w:type="dxa"/>
                    <w:tblBorders>
                      <w:top w:val="nil"/>
                      <w:left w:val="nil"/>
                      <w:bottom w:val="nil"/>
                      <w:right w:val="nil"/>
                      <w:insideH w:val="nil"/>
                      <w:insideV w:val="nil"/>
                    </w:tblBorders>
                    <w:tblDescription w:val="OMB Interior Box"/>
                  </w:tblPr>
                  <w:tr>
                    <w:tc>
                      <w:tcPr>
                        <w:gridSpan w:val="3"/>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OMB Number:</w:t>
                        </w:r>
                      </w:p>
                    </w:tc>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3235-0104</w:t>
                        </w:r>
                      </w:p>
                    </w:tc>
                  </w:tr>
                  <w:tr>
                    <w:tc>
                      <w:tcPr>
                        <w:gridSpan w:val="4"/>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Estimated average burden</w:t>
                        </w:r>
                      </w:p>
                    </w:tc>
                  </w:tr>
                  <w:tr>
                    <w:tc>
                      <w:tcPr>
                        <w:gridSpan w:val="3"/>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hours per response:</w:t>
                        </w:r>
                      </w:p>
                    </w:tc>
                    <w:tc>
                      <w:tcPr>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0.5</w:t>
                        </w:r>
                      </w:p>
                    </w:tc>
                  </w:tr>
                </w:tbl>
                <w:p>
                  <w:pPr/>
                </w:p>
              </w:tc>
            </w:tr>
          </w:tbl>
          <w:p>
            <w:pPr/>
          </w:p>
        </w:tc>
      </w:tr>
    </w:tbl>
    <w:p>
      <w:pPr>
        <w:spacing w:before="0" w:after="0"/>
        <w:ind w:left="0" w:right="0"/>
        <w:rPr>
          <w:vanish/>
        </w:rPr>
      </w:pPr>
    </w:p>
    <w:tbl>
      <w:tblPr>
        <w:tblStyle w:val="Table Grid"/>
        <w:tblW w:w="5000" w:type="pct"/>
        <w:jc w:val="left"/>
        <w:tblCellSpacing w:w="0" w:type="dxa"/>
        <w:tblInd w:w="0" w:type="dxa"/>
        <w:tblBorders>
          <w:top w:val="single" w:sz="8" w:color="808080"/>
          <w:left w:val="single" w:sz="8" w:color="808080"/>
          <w:bottom w:val="single" w:sz="8" w:color="808080"/>
          <w:right w:val="single" w:sz="8" w:color="808080"/>
          <w:insideH w:val="single" w:sz="8" w:color="808080"/>
          <w:insideV w:val="single" w:sz="8" w:color="808080"/>
        </w:tblBorders>
        <w:tblCellMar>
          <w:top w:w="60" w:type="dxa"/>
          <w:left w:w="60" w:type="dxa"/>
          <w:bottom w:w="60" w:type="dxa"/>
          <w:right w:w="60" w:type="dxa"/>
        </w:tblCellMar>
        <w:tblLook w:firstRow="1" w:lastRow="0" w:firstColumn="1" w:lastColumn="0" w:noHBand="0" w:noVBand="1" w:val="04A0"/>
      </w:tblPr>
      <w:tr>
        <w:trPr>
          <w:cnfStyle w:val="000000000000"/>
        </w:trPr>
        <w:tc>
          <w:tcPr>
            <w:cnfStyle w:val="000000000000"/>
            <w:tcW w:w="1500" w:type="pct"/>
            <w:vMerge w:val="restart"/>
            <w:vAlign w:val="top"/>
          </w:tcPr>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 Name and Address of Reporting Person</w:t>
            </w:r>
            <w:r>
              <w:rPr>
                <w:rFonts w:ascii="Times New Roman" w:eastAsia="Times New Roman" w:hAnsi="Times New Roman" w:cs="Times New Roman"/>
                <w:vertAlign w:val="superscript"/>
              </w:rPr>
              <w:t>*</w:t>
            </w:r>
          </w:p>
          <w:tbl>
            <w:tblPr>
              <w:tblW w:w="5000" w:type="pct"/>
              <w:jc w:val="left"/>
              <w:tblCellSpacing w:w="30" w:type="dxa"/>
              <w:tblBorders>
                <w:top w:val="nil"/>
                <w:left w:val="nil"/>
                <w:bottom w:val="nil"/>
                <w:right w:val="nil"/>
                <w:insideH w:val="nil"/>
                <w:insideV w:val="nil"/>
              </w:tblBorders>
            </w:tblPr>
            <w:tr>
              <w:tc>
                <w:tcPr>
                  <w:vAlign w:val="center"/>
                </w:tcPr>
                <w:p>
                  <w:pPr>
                    <w:spacing w:before="0" w:after="0" w:lineRule="atLeast" w:line="240"/>
                    <w:rPr>
                      <w:rFonts w:ascii="Times New Roman" w:eastAsia="Times New Roman" w:hAnsi="Times New Roman" w:cs="Times New Roman"/>
                      <w:sz w:val="30"/>
                      <w:szCs w:val="30"/>
                    </w:rPr>
                  </w:pPr>
                  <w:r>
                    <w:fldChar w:fldCharType="begin"/>
                  </w:r>
                  <w:r>
                    <w:instrText xml:space="preserve">HYPERLINK </w:instrText>
                  </w:r>
                  <w:r>
                    <w:instrText>/cgi-bin/browse-edgar?action=getcompany&amp;CIK=0000070858</w:instrText>
                  </w:r>
                  <w:r>
                    <w:fldChar w:fldCharType="separate"/>
                  </w:r>
                  <w:r>
                    <w:rPr>
                      <w:rFonts w:ascii="Times New Roman" w:eastAsia="Times New Roman" w:hAnsi="Times New Roman" w:cs="Times New Roman"/>
                      <w:color w:val="0000EE"/>
                      <w:sz w:val="30"/>
                      <w:szCs w:val="30"/>
                      <w:u w:color="0000EE" w:val="single"/>
                    </w:rPr>
                    <w:t>BANK OF AMERICA CORP /DE/</w:t>
                  </w:r>
                  <w:r>
                    <w:fldChar w:fldCharType="end"/>
                  </w:r>
                </w:p>
              </w:tc>
            </w:tr>
          </w:tbl>
          <w:p>
            <w:pPr>
              <w:cnfStyle w:val="000000000000"/>
            </w:pPr>
            <w:r>
              <w:pict>
                <v:rect id="_x0000_i1025" o:hralign="center" o:hrstd="t" o:hr="t" style="width:0pt;height:1.5pt;visibility:visible" fillcolor="#A0A0A0" stroked="false" strokeweight="0.75pt"/>
              </w:pict>
            </w:r>
          </w:p>
          <w:tbl>
            <w:tblPr>
              <w:tblW w:w="5000" w:type="pct"/>
              <w:jc w:val="left"/>
              <w:tblCellSpacing w:w="30" w:type="dxa"/>
              <w:tblBorders>
                <w:top w:val="nil"/>
                <w:left w:val="nil"/>
                <w:bottom w:val="nil"/>
                <w:right w:val="nil"/>
                <w:insideH w:val="nil"/>
                <w:insideV w:val="nil"/>
              </w:tblBorders>
            </w:tblPr>
            <w:tr>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(Last)</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(First)</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(Middle)</w:t>
                  </w:r>
                </w:p>
              </w:tc>
            </w:tr>
          </w:tbl>
          <w:p>
            <w:pPr>
              <w:cnfStyle w:val="000000000000"/>
              <w:spacing w:before="0" w:after="0"/>
              <w:rPr>
                <w:vanish/>
              </w:rPr>
            </w:pPr>
          </w:p>
          <w:tbl>
            <w:tblPr>
              <w:tblW w:w="5000" w:type="pct"/>
              <w:jc w:val="left"/>
              <w:tblCellSpacing w:w="30" w:type="dxa"/>
              <w:tblBorders>
                <w:top w:val="nil"/>
                <w:left w:val="nil"/>
                <w:bottom w:val="nil"/>
                <w:right w:val="nil"/>
                <w:insideH w:val="nil"/>
                <w:insideV w:val="nil"/>
              </w:tblBorders>
            </w:tblP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BANK OF AMERICA CORPORATE CENTER</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100 N TRYON ST</w:t>
                  </w:r>
                </w:p>
              </w:tc>
            </w:tr>
          </w:tbl>
          <w:p>
            <w:pPr>
              <w:cnfStyle w:val="000000000000"/>
            </w:pPr>
            <w:r>
              <w:pict>
                <v:rect id="_x0000_i1025" o:hralign="center" o:hrstd="t" o:hr="t" style="width:0pt;height:1.5pt;visibility:visible" fillcolor="#A0A0A0" stroked="false" strokeweight="0.75pt"/>
              </w:pict>
            </w:r>
          </w:p>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(Street)</w:t>
            </w:r>
          </w:p>
          <w:tbl>
            <w:tblPr>
              <w:tblW w:w="5000" w:type="pct"/>
              <w:jc w:val="left"/>
              <w:tblCellSpacing w:w="30" w:type="dxa"/>
              <w:tblBorders>
                <w:top w:val="nil"/>
                <w:left w:val="nil"/>
                <w:bottom w:val="nil"/>
                <w:right w:val="nil"/>
                <w:insideH w:val="nil"/>
                <w:insideV w:val="nil"/>
              </w:tblBorders>
            </w:tblPr>
            <w:tr>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CHARLOTTE</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NC</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28255</w:t>
                  </w:r>
                </w:p>
              </w:tc>
            </w:tr>
          </w:tbl>
          <w:p>
            <w:pPr>
              <w:cnfStyle w:val="000000000000"/>
            </w:pPr>
            <w:r>
              <w:pict>
                <v:rect id="_x0000_i1025" o:hralign="center" o:hrstd="t" o:hr="t" style="width:0pt;height:1.5pt;visibility:visible" fillcolor="#A0A0A0" stroked="false" strokeweight="0.75pt"/>
              </w:pict>
            </w:r>
          </w:p>
          <w:tbl>
            <w:tblPr>
              <w:tblW w:w="5000" w:type="pct"/>
              <w:jc w:val="left"/>
              <w:tblCellSpacing w:w="30" w:type="dxa"/>
              <w:tblBorders>
                <w:top w:val="nil"/>
                <w:left w:val="nil"/>
                <w:bottom w:val="nil"/>
                <w:right w:val="nil"/>
                <w:insideH w:val="nil"/>
                <w:insideV w:val="nil"/>
              </w:tblBorders>
            </w:tblPr>
            <w:tr>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(City)</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(State)</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(Zip)</w:t>
                  </w:r>
                </w:p>
              </w:tc>
            </w:tr>
          </w:tbl>
          <w:p>
            <w:pPr/>
          </w:p>
        </w:tc>
        <w:tc>
          <w:tcPr>
            <w:cnfStyle w:val="000000000000"/>
            <w:tcW w:w="750" w:type="pct"/>
            <w:vMerge w:val="restart"/>
            <w:vAlign w:val="top"/>
          </w:tcPr>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2. Date of Event Requiring Statement (Month/Day/Year)</w:t>
            </w:r>
            <w:r>
              <w:br/>
            </w:r>
            <w:r>
              <w:rPr>
                <w:rFonts w:ascii="Times New Roman" w:eastAsia="Times New Roman" w:hAnsi="Times New Roman" w:cs="Times New Roman"/>
                <w:sz w:val="30"/>
                <w:szCs w:val="30"/>
              </w:rPr>
              <w:t>03/31/2023</w:t>
            </w:r>
          </w:p>
        </w:tc>
        <w:tc>
          <w:tcPr>
            <w:cnfStyle w:val="000000000000"/>
            <w:gridSpan w:val="2"/>
            <w:vAlign w:val="top"/>
          </w:tcPr>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3. Issuer Name </w:t>
            </w:r>
            <w:r>
              <w:rPr>
                <w:rFonts w:ascii="Times New Roman" w:eastAsia="Times New Roman" w:hAnsi="Times New Roman" w:cs="Times New Roman"/>
                <w:b/>
                <w:bCs/>
                <w:sz w:val="30"/>
                <w:szCs w:val="30"/>
              </w:rPr>
              <w:t>and</w:t>
            </w:r>
            <w:r>
              <w:rPr>
                <w:rFonts w:ascii="Times New Roman" w:eastAsia="Times New Roman" w:hAnsi="Times New Roman" w:cs="Times New Roman"/>
                <w:sz w:val="30"/>
                <w:szCs w:val="30"/>
              </w:rPr>
              <w:t xml:space="preserve"> Ticker or Trading Symbol </w:t>
            </w:r>
            <w:r>
              <w:br/>
            </w:r>
            <w:r>
              <w:fldChar w:fldCharType="begin"/>
            </w:r>
            <w:r>
              <w:instrText xml:space="preserve">HYPERLINK </w:instrText>
            </w:r>
            <w:r>
              <w:instrText>/cgi-bin/browse-edgar?action=getcompany&amp;CIK=0001842916</w:instrText>
            </w:r>
            <w:r>
              <w:fldChar w:fldCharType="separate"/>
            </w:r>
            <w:r>
              <w:rPr>
                <w:rFonts w:ascii="Times New Roman" w:eastAsia="Times New Roman" w:hAnsi="Times New Roman" w:cs="Times New Roman"/>
                <w:color w:val="0000EE"/>
                <w:sz w:val="30"/>
                <w:szCs w:val="30"/>
                <w:u w:color="0000EE" w:val="single"/>
              </w:rPr>
              <w:t>Forum Merger IV Corp</w:t>
            </w:r>
            <w:r>
              <w:fldChar w:fldCharType="end"/>
            </w:r>
            <w:r>
              <w:rPr>
                <w:rFonts w:ascii="Times New Roman" w:eastAsia="Times New Roman" w:hAnsi="Times New Roman" w:cs="Times New Roman"/>
                <w:sz w:val="30"/>
                <w:szCs w:val="30"/>
              </w:rPr>
              <w:t xml:space="preserve"> [ </w:t>
            </w:r>
            <w:r>
              <w:rPr>
                <w:rFonts w:ascii="Times New Roman" w:eastAsia="Times New Roman" w:hAnsi="Times New Roman" w:cs="Times New Roman"/>
                <w:sz w:val="30"/>
                <w:szCs w:val="30"/>
              </w:rPr>
              <w:t>FMIV</w:t>
            </w:r>
            <w:r>
              <w:rPr>
                <w:rFonts w:ascii="Times New Roman" w:eastAsia="Times New Roman" w:hAnsi="Times New Roman" w:cs="Times New Roman"/>
                <w:sz w:val="30"/>
                <w:szCs w:val="30"/>
              </w:rPr>
              <w:t xml:space="preserve"> ]</w:t>
            </w:r>
          </w:p>
        </w:tc>
      </w:tr>
      <w:tr>
        <w:trPr>
          <w:cnfStyle w:val="000000000000"/>
        </w:trPr>
        <w:tc>
          <w:tcPr>
            <w:cnfStyle w:val="000000000000"/>
            <w:vMerge/>
          </w:tcPr>
          <w:p>
            <w:pPr>
              <w:spacing w:before="0" w:after="0" w:lineRule="atLeast" w:line="240"/>
              <w:rPr>
                <w:rFonts w:ascii="Times New Roman" w:eastAsia="Times New Roman" w:hAnsi="Times New Roman" w:cs="Times New Roman"/>
                <w:sz w:val="30"/>
                <w:szCs w:val="30"/>
              </w:rPr>
            </w:pPr>
          </w:p>
        </w:tc>
        <w:tc>
          <w:tcPr>
            <w:cnfStyle w:val="000000000000"/>
            <w:vMerge/>
          </w:tcPr>
          <w:p>
            <w:pPr>
              <w:spacing w:before="0" w:after="0" w:lineRule="atLeast" w:line="240"/>
              <w:rPr>
                <w:rFonts w:ascii="Times New Roman" w:eastAsia="Times New Roman" w:hAnsi="Times New Roman" w:cs="Times New Roman"/>
                <w:sz w:val="30"/>
                <w:szCs w:val="30"/>
              </w:rPr>
            </w:pPr>
          </w:p>
        </w:tc>
        <w:tc>
          <w:tcPr>
            <w:cnfStyle w:val="000000000000"/>
            <w:tcW w:w="1500" w:type="pct"/>
            <w:vMerge w:val="restart"/>
            <w:vAlign w:val="top"/>
          </w:tcPr>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4. Relationship of Reporting Person(s) to Issuer </w:t>
            </w:r>
            <w:r>
              <w:br/>
            </w:r>
            <w:r>
              <w:rPr>
                <w:rFonts w:ascii="Times New Roman" w:eastAsia="Times New Roman" w:hAnsi="Times New Roman" w:cs="Times New Roman"/>
                <w:sz w:val="30"/>
                <w:szCs w:val="30"/>
              </w:rPr>
              <w:t>(Check all applicable)</w:t>
            </w:r>
          </w:p>
          <w:tbl>
            <w:tblPr>
              <w:tblW w:w="5000" w:type="pct"/>
              <w:jc w:val="left"/>
              <w:tblCellSpacing w:w="30" w:type="dxa"/>
              <w:tblBorders>
                <w:top w:val="nil"/>
                <w:left w:val="nil"/>
                <w:bottom w:val="nil"/>
                <w:right w:val="nil"/>
                <w:insideH w:val="nil"/>
                <w:insideV w:val="nil"/>
              </w:tblBorders>
            </w:tblPr>
            <w:tr>
              <w:tc>
                <w:tcPr>
                  <w:tcW w:w="750" w:type="pct"/>
                  <w:vAlign w:val="center"/>
                </w:tcPr>
                <w:p>
                  <w:pPr>
                    <w:spacing w:before="0" w:after="0" w:lineRule="atLeast" w:line="240"/>
                    <w:jc w:val="center"/>
                    <w:rPr>
                      <w:rFonts w:ascii="Times New Roman" w:eastAsia="Times New Roman" w:hAnsi="Times New Roman" w:cs="Times New Roman"/>
                      <w:sz w:val="30"/>
                      <w:szCs w:val="30"/>
                    </w:rPr>
                  </w:pPr>
                </w:p>
              </w:tc>
              <w:tc>
                <w:tcPr>
                  <w:tcW w:w="17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Director</w:t>
                  </w:r>
                </w:p>
              </w:tc>
              <w:tc>
                <w:tcPr>
                  <w:tcW w:w="750" w:type="pct"/>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X</w:t>
                  </w:r>
                </w:p>
              </w:tc>
              <w:tc>
                <w:tcPr>
                  <w:tcW w:w="17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 Owner</w:t>
                  </w:r>
                </w:p>
              </w:tc>
            </w:tr>
            <w:tr>
              <w:tc>
                <w:tcPr>
                  <w:vAlign w:val="center"/>
                </w:tcPr>
                <w:p>
                  <w:pPr>
                    <w:spacing w:before="0" w:after="0" w:lineRule="atLeast" w:line="240"/>
                    <w:jc w:val="center"/>
                    <w:rPr>
                      <w:rFonts w:ascii="Times New Roman" w:eastAsia="Times New Roman" w:hAnsi="Times New Roman" w:cs="Times New Roman"/>
                      <w:sz w:val="30"/>
                      <w:szCs w:val="30"/>
                    </w:rPr>
                  </w:pP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Officer (give title below)</w:t>
                  </w:r>
                </w:p>
              </w:tc>
              <w:tc>
                <w:tcPr>
                  <w:vAlign w:val="center"/>
                </w:tcPr>
                <w:p>
                  <w:pPr>
                    <w:spacing w:before="0" w:after="0" w:lineRule="atLeast" w:line="240"/>
                    <w:jc w:val="center"/>
                    <w:rPr>
                      <w:rFonts w:ascii="Times New Roman" w:eastAsia="Times New Roman" w:hAnsi="Times New Roman" w:cs="Times New Roman"/>
                      <w:sz w:val="30"/>
                      <w:szCs w:val="30"/>
                    </w:rPr>
                  </w:pP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Other (specify below)</w:t>
                  </w:r>
                </w:p>
              </w:tc>
            </w:tr>
            <w:tr>
              <w:tc>
                <w:tcPr>
                  <w:gridSpan w:val="4"/>
                  <w:vAlign w:val="center"/>
                </w:tcPr>
                <w:p>
                  <w:pPr>
                    <w:spacing w:before="0" w:after="0" w:lineRule="atLeast" w:line="240"/>
                    <w:jc w:val="center"/>
                    <w:rPr>
                      <w:rFonts w:ascii="Times New Roman" w:eastAsia="Times New Roman" w:hAnsi="Times New Roman" w:cs="Times New Roman"/>
                      <w:sz w:val="30"/>
                      <w:szCs w:val="30"/>
                    </w:rPr>
                  </w:pPr>
                </w:p>
              </w:tc>
            </w:tr>
          </w:tbl>
          <w:p>
            <w:pPr/>
          </w:p>
        </w:tc>
        <w:tc>
          <w:tcPr>
            <w:cnfStyle w:val="000000000000"/>
            <w:vAlign w:val="top"/>
          </w:tcPr>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5. If Amendment, Date of Original Filed (Month/Day/Year)</w:t>
            </w:r>
          </w:p>
        </w:tc>
      </w:tr>
      <w:tr>
        <w:trPr>
          <w:cnfStyle w:val="000000000000"/>
        </w:trPr>
        <w:tc>
          <w:tcPr>
            <w:cnfStyle w:val="000000000000"/>
            <w:vMerge/>
          </w:tcPr>
          <w:p>
            <w:pPr>
              <w:spacing w:before="0" w:after="0" w:lineRule="atLeast" w:line="240"/>
              <w:rPr>
                <w:rFonts w:ascii="Times New Roman" w:eastAsia="Times New Roman" w:hAnsi="Times New Roman" w:cs="Times New Roman"/>
                <w:sz w:val="30"/>
                <w:szCs w:val="30"/>
              </w:rPr>
            </w:pPr>
          </w:p>
        </w:tc>
        <w:tc>
          <w:tcPr>
            <w:cnfStyle w:val="000000000000"/>
            <w:vMerge/>
          </w:tcPr>
          <w:p>
            <w:pPr>
              <w:spacing w:before="0" w:after="0" w:lineRule="atLeast" w:line="240"/>
              <w:rPr>
                <w:rFonts w:ascii="Times New Roman" w:eastAsia="Times New Roman" w:hAnsi="Times New Roman" w:cs="Times New Roman"/>
                <w:sz w:val="30"/>
                <w:szCs w:val="30"/>
              </w:rPr>
            </w:pPr>
          </w:p>
        </w:tc>
        <w:tc>
          <w:tcPr>
            <w:cnfStyle w:val="000000000000"/>
            <w:vMerge/>
          </w:tcPr>
          <w:p>
            <w:pPr>
              <w:spacing w:before="0" w:after="0" w:lineRule="atLeast" w:line="240"/>
              <w:rPr>
                <w:rFonts w:ascii="Times New Roman" w:eastAsia="Times New Roman" w:hAnsi="Times New Roman" w:cs="Times New Roman"/>
                <w:sz w:val="30"/>
                <w:szCs w:val="30"/>
              </w:rPr>
            </w:pPr>
          </w:p>
        </w:tc>
        <w:tc>
          <w:tcPr>
            <w:cnfStyle w:val="000000000000"/>
            <w:vAlign w:val="top"/>
          </w:tcPr>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6. Individual or Joint/Group Filing (Check Applicable Line)</w:t>
            </w:r>
          </w:p>
          <w:tbl>
            <w:tblPr>
              <w:tblW w:w="5000" w:type="pct"/>
              <w:jc w:val="left"/>
              <w:tblCellSpacing w:w="30" w:type="dxa"/>
              <w:tblBorders>
                <w:top w:val="nil"/>
                <w:left w:val="nil"/>
                <w:bottom w:val="nil"/>
                <w:right w:val="nil"/>
                <w:insideH w:val="nil"/>
                <w:insideV w:val="nil"/>
              </w:tblBorders>
            </w:tblPr>
            <w:tr>
              <w:tc>
                <w:tcPr>
                  <w:tcW w:w="750" w:type="pct"/>
                  <w:vAlign w:val="center"/>
                </w:tcPr>
                <w:p>
                  <w:pPr>
                    <w:spacing w:before="0" w:after="0" w:lineRule="atLeast" w:line="240"/>
                    <w:jc w:val="center"/>
                    <w:rPr>
                      <w:rFonts w:ascii="Times New Roman" w:eastAsia="Times New Roman" w:hAnsi="Times New Roman" w:cs="Times New Roman"/>
                      <w:sz w:val="30"/>
                      <w:szCs w:val="30"/>
                    </w:rPr>
                  </w:pPr>
                </w:p>
              </w:tc>
              <w:tc>
                <w:tcPr>
                  <w:tcW w:w="42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Form filed by One Reporting Person</w:t>
                  </w:r>
                </w:p>
              </w:tc>
            </w:tr>
            <w:tr>
              <w:tc>
                <w:tcPr>
                  <w:tcW w:w="750" w:type="pct"/>
                  <w:vAlign w:val="center"/>
                </w:tcPr>
                <w:p>
                  <w:pPr>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X</w:t>
                  </w:r>
                </w:p>
              </w:tc>
              <w:tc>
                <w:tcPr>
                  <w:tcW w:w="42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Form filed by More than One Reporting Person</w:t>
                  </w:r>
                </w:p>
              </w:tc>
            </w:tr>
          </w:tbl>
          <w:p>
            <w:pPr/>
          </w:p>
        </w:tc>
      </w:tr>
    </w:tbl>
    <w:p>
      <w:pPr>
        <w:spacing w:before="0" w:after="0"/>
        <w:ind w:left="0" w:right="0"/>
        <w:rPr>
          <w:vanish/>
        </w:rPr>
      </w:pPr>
    </w:p>
    <w:tbl>
      <w:tblPr>
        <w:tblStyle w:val="Table Grid"/>
        <w:tblW w:w="5000" w:type="pct"/>
        <w:jc w:val="left"/>
        <w:tblCellSpacing w:w="0" w:type="dxa"/>
        <w:tblInd w:w="0" w:type="dxa"/>
        <w:tblBorders>
          <w:top w:val="single" w:sz="8" w:color="808080"/>
          <w:left w:val="single" w:sz="8" w:color="808080"/>
          <w:bottom w:val="single" w:sz="8" w:color="808080"/>
          <w:right w:val="single" w:sz="8" w:color="808080"/>
          <w:insideH w:val="single" w:sz="8" w:color="808080"/>
          <w:insideV w:val="single" w:sz="8" w:color="808080"/>
        </w:tblBorders>
        <w:tblCellMar>
          <w:top w:w="60" w:type="dxa"/>
          <w:left w:w="60" w:type="dxa"/>
          <w:bottom w:w="60" w:type="dxa"/>
          <w:right w:w="60" w:type="dxa"/>
        </w:tblCellMar>
        <w:tblLook w:firstRow="1" w:lastRow="0" w:firstColumn="1" w:lastColumn="0" w:noHBand="0" w:noVBand="1" w:val="04A0"/>
      </w:tblPr>
      <w:tr>
        <w:trPr>
          <w:cnfStyle w:val="000000000000"/>
          <w:tblHeader/>
        </w:trPr>
        <w:tc>
          <w:tcPr>
            <w:cnfStyle w:val="000000000000"/>
            <w:tcW w:w="5000" w:type="pct"/>
            <w:gridSpan w:val="4"/>
            <w:vAlign w:val="top"/>
          </w:tcPr>
          <w:p>
            <w:pPr>
              <w:cnfStyle w:val="000000000000"/>
              <w:spacing w:before="0" w:after="0" w:lineRule="atLeast" w:line="240"/>
              <w:jc w:val="center"/>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Table I - Non-Derivative Securities Beneficially Owned</w:t>
            </w:r>
          </w:p>
        </w:tc>
      </w:tr>
      <w:tr>
        <w:trPr>
          <w:cnfStyle w:val="000000000000"/>
          <w:tblHeader/>
        </w:trPr>
        <w:tc>
          <w:tcPr>
            <w:cnfStyle w:val="000000000000"/>
            <w:tcW w:w="2200" w:type="pct"/>
            <w:vAlign w:val="top"/>
          </w:tcPr>
          <w:p>
            <w:pPr>
              <w:cnfStyle w:val="000000000000"/>
              <w:spacing w:before="0" w:after="0" w:lineRule="atLeast" w:line="240"/>
              <w:jc w:val="left"/>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1. Title of Security (Instr. 4)</w:t>
            </w:r>
          </w:p>
        </w:tc>
        <w:tc>
          <w:tcPr>
            <w:cnfStyle w:val="000000000000"/>
            <w:tcW w:w="950" w:type="pct"/>
            <w:vAlign w:val="top"/>
          </w:tcPr>
          <w:p>
            <w:pPr>
              <w:cnfStyle w:val="000000000000"/>
              <w:spacing w:before="0" w:after="0" w:lineRule="atLeast" w:line="240"/>
              <w:jc w:val="left"/>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2. Amount of Securities Beneficially Owned (Instr. 4)</w:t>
            </w:r>
          </w:p>
        </w:tc>
        <w:tc>
          <w:tcPr>
            <w:cnfStyle w:val="000000000000"/>
            <w:tcW w:w="550" w:type="pct"/>
            <w:vAlign w:val="top"/>
          </w:tcPr>
          <w:p>
            <w:pPr>
              <w:cnfStyle w:val="000000000000"/>
              <w:spacing w:before="0" w:after="0" w:lineRule="atLeast" w:line="240"/>
              <w:jc w:val="left"/>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3. Ownership Form: Direct (D) or Indirect (I) (Instr. 5)</w:t>
            </w:r>
          </w:p>
        </w:tc>
        <w:tc>
          <w:tcPr>
            <w:cnfStyle w:val="000000000000"/>
            <w:tcW w:w="1300" w:type="pct"/>
            <w:vAlign w:val="top"/>
          </w:tcPr>
          <w:p>
            <w:pPr>
              <w:cnfStyle w:val="000000000000"/>
              <w:spacing w:before="0" w:after="0" w:lineRule="atLeast" w:line="240"/>
              <w:jc w:val="left"/>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4. Nature of Indirect Beneficial Ownership (Instr. 5)</w:t>
            </w:r>
          </w:p>
        </w:tc>
      </w:tr>
      <w:tr>
        <w:trPr>
          <w:cnfStyle w:val="000000000000"/>
        </w:trPr>
        <w:tc>
          <w:tcPr>
            <w:cnfStyle w:val="000000000000"/>
            <w:vAlign w:val="center"/>
          </w:tcPr>
          <w:p>
            <w:pPr>
              <w:cnfStyle w:val="000000000000"/>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Common Stock</w:t>
            </w:r>
            <w:r>
              <w:rPr>
                <w:rFonts w:ascii="Times New Roman" w:eastAsia="Times New Roman" w:hAnsi="Times New Roman" w:cs="Times New Roman"/>
                <w:vertAlign w:val="superscript"/>
              </w:rPr>
              <w:t>(1)</w:t>
            </w:r>
          </w:p>
        </w:tc>
        <w:tc>
          <w:tcPr>
            <w:cnfStyle w:val="000000000000"/>
            <w:vAlign w:val="center"/>
          </w:tcPr>
          <w:p>
            <w:pPr>
              <w:cnfStyle w:val="000000000000"/>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1,182,332</w:t>
            </w:r>
          </w:p>
        </w:tc>
        <w:tc>
          <w:tcPr>
            <w:cnfStyle w:val="000000000000"/>
            <w:vAlign w:val="center"/>
          </w:tcPr>
          <w:p>
            <w:pPr>
              <w:cnfStyle w:val="000000000000"/>
              <w:spacing w:before="0" w:after="0" w:lineRule="atLeast" w:line="24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I</w:t>
            </w:r>
          </w:p>
        </w:tc>
        <w:tc>
          <w:tcPr>
            <w:cnfStyle w:val="000000000000"/>
            <w:vAlign w:val="center"/>
          </w:tcPr>
          <w:p>
            <w:pPr>
              <w:cnfStyle w:val="000000000000"/>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By Subsidiary</w:t>
            </w:r>
          </w:p>
        </w:tc>
      </w:tr>
    </w:tbl>
    <w:p>
      <w:pPr>
        <w:spacing w:before="0" w:after="0"/>
        <w:ind w:left="0" w:right="0"/>
        <w:rPr>
          <w:vanish/>
        </w:rPr>
      </w:pPr>
    </w:p>
    <w:tbl>
      <w:tblPr>
        <w:tblStyle w:val="Table Grid"/>
        <w:tblW w:w="5000" w:type="pct"/>
        <w:jc w:val="left"/>
        <w:tblCellSpacing w:w="0" w:type="dxa"/>
        <w:tblInd w:w="0" w:type="dxa"/>
        <w:tblBorders>
          <w:top w:val="single" w:sz="8" w:color="808080"/>
          <w:left w:val="single" w:sz="8" w:color="808080"/>
          <w:bottom w:val="single" w:sz="8" w:color="808080"/>
          <w:right w:val="single" w:sz="8" w:color="808080"/>
          <w:insideH w:val="single" w:sz="8" w:color="808080"/>
          <w:insideV w:val="single" w:sz="8" w:color="808080"/>
        </w:tblBorders>
        <w:tblCellMar>
          <w:top w:w="60" w:type="dxa"/>
          <w:left w:w="60" w:type="dxa"/>
          <w:bottom w:w="60" w:type="dxa"/>
          <w:right w:w="60" w:type="dxa"/>
        </w:tblCellMar>
        <w:tblLook w:firstRow="1" w:lastRow="0" w:firstColumn="1" w:lastColumn="0" w:noHBand="0" w:noVBand="1" w:val="04A0"/>
      </w:tblPr>
      <w:tr>
        <w:trPr>
          <w:cnfStyle w:val="000000000000"/>
          <w:tblHeader/>
        </w:trPr>
        <w:tc>
          <w:tcPr>
            <w:cnfStyle w:val="000000000000"/>
            <w:tcW w:w="5000" w:type="pct"/>
            <w:gridSpan w:val="8"/>
            <w:vAlign w:val="top"/>
          </w:tcPr>
          <w:p>
            <w:pPr>
              <w:cnfStyle w:val="000000000000"/>
              <w:spacing w:before="0" w:after="0" w:lineRule="atLeast" w:line="240"/>
              <w:jc w:val="center"/>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Table II - Derivative Securities Beneficially Owned</w:t>
            </w:r>
            <w:r>
              <w:br/>
            </w:r>
            <w:r>
              <w:rPr>
                <w:rFonts w:ascii="Times New Roman" w:eastAsia="Times New Roman" w:hAnsi="Times New Roman" w:cs="Times New Roman"/>
                <w:b/>
                <w:bCs/>
                <w:sz w:val="30"/>
                <w:szCs w:val="30"/>
              </w:rPr>
              <w:t>(e.g., puts, calls, warrants, options, convertible securities)</w:t>
            </w:r>
          </w:p>
        </w:tc>
      </w:tr>
      <w:tr>
        <w:trPr>
          <w:cnfStyle w:val="000000000000"/>
          <w:tblHeader/>
        </w:trPr>
        <w:tc>
          <w:tcPr>
            <w:cnfStyle w:val="000000000000"/>
            <w:tcW w:w="1750" w:type="pct"/>
            <w:vMerge w:val="restart"/>
            <w:vAlign w:val="top"/>
          </w:tcPr>
          <w:p>
            <w:pPr>
              <w:cnfStyle w:val="000000000000"/>
              <w:spacing w:before="0" w:after="0" w:lineRule="atLeast" w:line="240"/>
              <w:jc w:val="left"/>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1. Title of Derivative Security (Instr. 4)</w:t>
            </w:r>
          </w:p>
        </w:tc>
        <w:tc>
          <w:tcPr>
            <w:cnfStyle w:val="000000000000"/>
            <w:tcW w:w="450" w:type="pct"/>
            <w:gridSpan w:val="2"/>
            <w:vAlign w:val="top"/>
          </w:tcPr>
          <w:p>
            <w:pPr>
              <w:cnfStyle w:val="000000000000"/>
              <w:spacing w:before="0" w:after="0" w:lineRule="atLeast" w:line="240"/>
              <w:jc w:val="left"/>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2. Date Exercisable and Expiration Date (Month/Day/Year)</w:t>
            </w:r>
          </w:p>
        </w:tc>
        <w:tc>
          <w:tcPr>
            <w:cnfStyle w:val="000000000000"/>
            <w:tcW w:w="1300" w:type="pct"/>
            <w:gridSpan w:val="2"/>
            <w:vAlign w:val="top"/>
          </w:tcPr>
          <w:p>
            <w:pPr>
              <w:cnfStyle w:val="000000000000"/>
              <w:spacing w:before="0" w:after="0" w:lineRule="atLeast" w:line="240"/>
              <w:jc w:val="left"/>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3. Title and Amount of Securities Underlying Derivative Security (Instr. 4)</w:t>
            </w:r>
          </w:p>
        </w:tc>
        <w:tc>
          <w:tcPr>
            <w:cnfStyle w:val="000000000000"/>
            <w:tcW w:w="350" w:type="pct"/>
            <w:vMerge w:val="restart"/>
            <w:vAlign w:val="top"/>
          </w:tcPr>
          <w:p>
            <w:pPr>
              <w:cnfStyle w:val="000000000000"/>
              <w:spacing w:before="0" w:after="0" w:lineRule="atLeast" w:line="240"/>
              <w:jc w:val="left"/>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4. Conversion or Exercise Price of Derivative Security</w:t>
            </w:r>
          </w:p>
        </w:tc>
        <w:tc>
          <w:tcPr>
            <w:cnfStyle w:val="000000000000"/>
            <w:tcW w:w="400" w:type="pct"/>
            <w:vMerge w:val="restart"/>
            <w:vAlign w:val="top"/>
          </w:tcPr>
          <w:p>
            <w:pPr>
              <w:cnfStyle w:val="000000000000"/>
              <w:spacing w:before="0" w:after="0" w:lineRule="atLeast" w:line="240"/>
              <w:jc w:val="left"/>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5. Ownership Form: Direct (D) or Indirect (I) (Instr. 5)</w:t>
            </w:r>
          </w:p>
        </w:tc>
        <w:tc>
          <w:tcPr>
            <w:cnfStyle w:val="000000000000"/>
            <w:tcW w:w="750" w:type="pct"/>
            <w:vMerge w:val="restart"/>
            <w:vAlign w:val="top"/>
          </w:tcPr>
          <w:p>
            <w:pPr>
              <w:cnfStyle w:val="000000000000"/>
              <w:spacing w:before="0" w:after="0" w:lineRule="atLeast" w:line="240"/>
              <w:jc w:val="left"/>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6. Nature of Indirect Beneficial Ownership (Instr. 5)</w:t>
            </w:r>
          </w:p>
        </w:tc>
      </w:tr>
      <w:tr>
        <w:trPr>
          <w:cnfStyle w:val="000000000000"/>
          <w:tblHeader/>
        </w:trPr>
        <w:tc>
          <w:tcPr>
            <w:cnfStyle w:val="000000000000"/>
            <w:vMerge/>
          </w:tcPr>
          <w:p>
            <w:pPr>
              <w:spacing w:before="0" w:after="0" w:lineRule="atLeast" w:line="240"/>
              <w:jc w:val="left"/>
              <w:rPr>
                <w:rFonts w:ascii="Times New Roman" w:eastAsia="Times New Roman" w:hAnsi="Times New Roman" w:cs="Times New Roman"/>
                <w:b/>
                <w:bCs/>
                <w:sz w:val="30"/>
                <w:szCs w:val="30"/>
              </w:rPr>
            </w:pPr>
          </w:p>
        </w:tc>
        <w:tc>
          <w:tcPr>
            <w:cnfStyle w:val="000000000000"/>
            <w:tcW w:w="200" w:type="pct"/>
            <w:vAlign w:val="bottom"/>
          </w:tcPr>
          <w:p>
            <w:pPr>
              <w:cnfStyle w:val="000000000000"/>
              <w:spacing w:before="0" w:after="0" w:lineRule="atLeast" w:line="240"/>
              <w:jc w:val="center"/>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Date Exercisable</w:t>
            </w:r>
          </w:p>
        </w:tc>
        <w:tc>
          <w:tcPr>
            <w:cnfStyle w:val="000000000000"/>
            <w:tcW w:w="250" w:type="pct"/>
            <w:vAlign w:val="bottom"/>
          </w:tcPr>
          <w:p>
            <w:pPr>
              <w:cnfStyle w:val="000000000000"/>
              <w:spacing w:before="0" w:after="0" w:lineRule="atLeast" w:line="240"/>
              <w:jc w:val="center"/>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Expiration Date</w:t>
            </w:r>
          </w:p>
        </w:tc>
        <w:tc>
          <w:tcPr>
            <w:cnfStyle w:val="000000000000"/>
            <w:tcW w:w="1000" w:type="pct"/>
            <w:vAlign w:val="bottom"/>
          </w:tcPr>
          <w:p>
            <w:pPr>
              <w:cnfStyle w:val="000000000000"/>
              <w:spacing w:before="0" w:after="0" w:lineRule="atLeast" w:line="240"/>
              <w:jc w:val="center"/>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Title</w:t>
            </w:r>
          </w:p>
        </w:tc>
        <w:tc>
          <w:tcPr>
            <w:cnfStyle w:val="000000000000"/>
            <w:tcW w:w="300" w:type="pct"/>
            <w:vAlign w:val="bottom"/>
          </w:tcPr>
          <w:p>
            <w:pPr>
              <w:cnfStyle w:val="000000000000"/>
              <w:spacing w:before="0" w:after="0" w:lineRule="atLeast" w:line="240"/>
              <w:jc w:val="center"/>
              <w:rPr>
                <w:rFonts w:ascii="Times New Roman" w:eastAsia="Times New Roman" w:hAnsi="Times New Roman" w:cs="Times New Roman"/>
                <w:b/>
                <w:bCs/>
                <w:sz w:val="30"/>
                <w:szCs w:val="30"/>
              </w:rPr>
            </w:pPr>
            <w:r>
              <w:rPr>
                <w:rFonts w:ascii="Times New Roman" w:eastAsia="Times New Roman" w:hAnsi="Times New Roman" w:cs="Times New Roman"/>
                <w:b/>
                <w:bCs/>
                <w:sz w:val="30"/>
                <w:szCs w:val="30"/>
              </w:rPr>
              <w:t>Amount or Number of Shares</w:t>
            </w:r>
          </w:p>
        </w:tc>
        <w:tc>
          <w:tcPr>
            <w:cnfStyle w:val="000000000000"/>
            <w:vMerge/>
          </w:tcPr>
          <w:p>
            <w:pPr>
              <w:spacing w:before="0" w:after="0" w:lineRule="atLeast" w:line="240"/>
              <w:jc w:val="left"/>
              <w:rPr>
                <w:rFonts w:ascii="Times New Roman" w:eastAsia="Times New Roman" w:hAnsi="Times New Roman" w:cs="Times New Roman"/>
                <w:b/>
                <w:bCs/>
                <w:sz w:val="30"/>
                <w:szCs w:val="30"/>
              </w:rPr>
            </w:pPr>
          </w:p>
        </w:tc>
        <w:tc>
          <w:tcPr>
            <w:cnfStyle w:val="000000000000"/>
            <w:vMerge/>
          </w:tcPr>
          <w:p>
            <w:pPr>
              <w:spacing w:before="0" w:after="0" w:lineRule="atLeast" w:line="240"/>
              <w:jc w:val="left"/>
              <w:rPr>
                <w:rFonts w:ascii="Times New Roman" w:eastAsia="Times New Roman" w:hAnsi="Times New Roman" w:cs="Times New Roman"/>
                <w:b/>
                <w:bCs/>
                <w:sz w:val="30"/>
                <w:szCs w:val="30"/>
              </w:rPr>
            </w:pPr>
          </w:p>
        </w:tc>
        <w:tc>
          <w:tcPr>
            <w:cnfStyle w:val="000000000000"/>
            <w:vMerge/>
          </w:tcPr>
          <w:p>
            <w:pPr>
              <w:spacing w:before="0" w:after="0" w:lineRule="atLeast" w:line="240"/>
              <w:jc w:val="left"/>
              <w:rPr>
                <w:rFonts w:ascii="Times New Roman" w:eastAsia="Times New Roman" w:hAnsi="Times New Roman" w:cs="Times New Roman"/>
                <w:b/>
                <w:bCs/>
                <w:sz w:val="30"/>
                <w:szCs w:val="30"/>
              </w:rPr>
            </w:pPr>
          </w:p>
        </w:tc>
      </w:tr>
    </w:tbl>
    <w:p>
      <w:pPr>
        <w:spacing w:before="0" w:after="0"/>
        <w:ind w:left="0" w:right="0"/>
        <w:rPr>
          <w:vanish/>
        </w:rPr>
      </w:pPr>
    </w:p>
    <w:tbl>
      <w:tblPr>
        <w:tblStyle w:val="Table Grid"/>
        <w:tblW w:w="2000" w:type="pct"/>
        <w:jc w:val="left"/>
        <w:tblCellSpacing w:w="0" w:type="dxa"/>
        <w:tblInd w:w="0" w:type="dxa"/>
        <w:tblBorders>
          <w:top w:val="single" w:sz="8" w:color="808080"/>
          <w:left w:val="single" w:sz="8" w:color="808080"/>
          <w:bottom w:val="single" w:sz="8" w:color="808080"/>
          <w:right w:val="single" w:sz="8" w:color="808080"/>
          <w:insideH w:val="single" w:sz="8" w:color="808080"/>
          <w:insideV w:val="single" w:sz="8" w:color="808080"/>
        </w:tblBorders>
        <w:tblCellMar>
          <w:top w:w="60" w:type="dxa"/>
          <w:left w:w="60" w:type="dxa"/>
          <w:bottom w:w="60" w:type="dxa"/>
          <w:right w:w="60" w:type="dxa"/>
        </w:tblCellMar>
        <w:tblLook w:firstRow="1" w:lastRow="0" w:firstColumn="1" w:lastColumn="0" w:noHBand="0" w:noVBand="1" w:val="04A0"/>
      </w:tblPr>
      <w:tr>
        <w:trPr>
          <w:cnfStyle w:val="000000000000"/>
        </w:trPr>
        <w:tc>
          <w:tcPr>
            <w:cnfStyle w:val="000000000000"/>
            <w:vAlign w:val="top"/>
          </w:tcPr>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 Name and Address of Reporting Person</w:t>
            </w:r>
            <w:r>
              <w:rPr>
                <w:rFonts w:ascii="Times New Roman" w:eastAsia="Times New Roman" w:hAnsi="Times New Roman" w:cs="Times New Roman"/>
                <w:vertAlign w:val="superscript"/>
              </w:rPr>
              <w:t>*</w:t>
            </w:r>
          </w:p>
          <w:tbl>
            <w:tblPr>
              <w:tblW w:w="5000" w:type="pct"/>
              <w:jc w:val="left"/>
              <w:tblCellSpacing w:w="30" w:type="dxa"/>
              <w:tblBorders>
                <w:top w:val="nil"/>
                <w:left w:val="nil"/>
                <w:bottom w:val="nil"/>
                <w:right w:val="nil"/>
                <w:insideH w:val="nil"/>
                <w:insideV w:val="nil"/>
              </w:tblBorders>
            </w:tblPr>
            <w:tr>
              <w:tc>
                <w:tcPr>
                  <w:vAlign w:val="center"/>
                </w:tcPr>
                <w:p>
                  <w:pPr>
                    <w:spacing w:before="0" w:after="0" w:lineRule="atLeast" w:line="240"/>
                    <w:rPr>
                      <w:rFonts w:ascii="Times New Roman" w:eastAsia="Times New Roman" w:hAnsi="Times New Roman" w:cs="Times New Roman"/>
                      <w:sz w:val="30"/>
                      <w:szCs w:val="30"/>
                    </w:rPr>
                  </w:pPr>
                  <w:r>
                    <w:fldChar w:fldCharType="begin"/>
                  </w:r>
                  <w:r>
                    <w:instrText xml:space="preserve">HYPERLINK </w:instrText>
                  </w:r>
                  <w:r>
                    <w:instrText>/cgi-bin/browse-edgar?action=getcompany&amp;CIK=0000070858</w:instrText>
                  </w:r>
                  <w:r>
                    <w:fldChar w:fldCharType="separate"/>
                  </w:r>
                  <w:r>
                    <w:rPr>
                      <w:rFonts w:ascii="Times New Roman" w:eastAsia="Times New Roman" w:hAnsi="Times New Roman" w:cs="Times New Roman"/>
                      <w:color w:val="0000EE"/>
                      <w:sz w:val="30"/>
                      <w:szCs w:val="30"/>
                      <w:u w:color="0000EE" w:val="single"/>
                    </w:rPr>
                    <w:t>BANK OF AMERICA CORP /DE/</w:t>
                  </w:r>
                  <w:r>
                    <w:fldChar w:fldCharType="end"/>
                  </w:r>
                </w:p>
              </w:tc>
            </w:tr>
          </w:tbl>
          <w:p>
            <w:pPr>
              <w:cnfStyle w:val="000000000000"/>
            </w:pPr>
            <w:r>
              <w:pict>
                <v:rect id="_x0000_i1025" o:hralign="center" o:hrstd="t" o:hr="t" style="width:0pt;height:1.5pt;visibility:visible" fillcolor="#A0A0A0" stroked="false" strokeweight="0.75pt"/>
              </w:pict>
            </w:r>
          </w:p>
          <w:tbl>
            <w:tblPr>
              <w:tblW w:w="5000" w:type="pct"/>
              <w:jc w:val="left"/>
              <w:tblCellSpacing w:w="30" w:type="dxa"/>
              <w:tblBorders>
                <w:top w:val="nil"/>
                <w:left w:val="nil"/>
                <w:bottom w:val="nil"/>
                <w:right w:val="nil"/>
                <w:insideH w:val="nil"/>
                <w:insideV w:val="nil"/>
              </w:tblBorders>
            </w:tblPr>
            <w:tr>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(Last)</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(First)</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(Middle)</w:t>
                  </w:r>
                </w:p>
              </w:tc>
            </w:tr>
          </w:tbl>
          <w:p>
            <w:pPr>
              <w:cnfStyle w:val="000000000000"/>
              <w:spacing w:before="0" w:after="0"/>
              <w:rPr>
                <w:vanish/>
              </w:rPr>
            </w:pPr>
          </w:p>
          <w:tbl>
            <w:tblPr>
              <w:tblW w:w="5000" w:type="pct"/>
              <w:jc w:val="left"/>
              <w:tblCellSpacing w:w="30" w:type="dxa"/>
              <w:tblBorders>
                <w:top w:val="nil"/>
                <w:left w:val="nil"/>
                <w:bottom w:val="nil"/>
                <w:right w:val="nil"/>
                <w:insideH w:val="nil"/>
                <w:insideV w:val="nil"/>
              </w:tblBorders>
            </w:tblP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BANK OF AMERICA CORPORATE CENTER</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100 N TRYON ST</w:t>
                  </w:r>
                </w:p>
              </w:tc>
            </w:tr>
          </w:tbl>
          <w:p>
            <w:pPr>
              <w:cnfStyle w:val="000000000000"/>
            </w:pPr>
            <w:r>
              <w:pict>
                <v:rect id="_x0000_i1025" o:hralign="center" o:hrstd="t" o:hr="t" style="width:0pt;height:1.5pt;visibility:visible" fillcolor="#A0A0A0" stroked="false" strokeweight="0.75pt"/>
              </w:pict>
            </w:r>
          </w:p>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(Street)</w:t>
            </w:r>
          </w:p>
          <w:tbl>
            <w:tblPr>
              <w:tblW w:w="5000" w:type="pct"/>
              <w:jc w:val="left"/>
              <w:tblCellSpacing w:w="30" w:type="dxa"/>
              <w:tblBorders>
                <w:top w:val="nil"/>
                <w:left w:val="nil"/>
                <w:bottom w:val="nil"/>
                <w:right w:val="nil"/>
                <w:insideH w:val="nil"/>
                <w:insideV w:val="nil"/>
              </w:tblBorders>
            </w:tblPr>
            <w:tr>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CHARLOTTE</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NC</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28255</w:t>
                  </w:r>
                </w:p>
              </w:tc>
            </w:tr>
          </w:tbl>
          <w:p>
            <w:pPr>
              <w:cnfStyle w:val="000000000000"/>
            </w:pPr>
            <w:r>
              <w:pict>
                <v:rect id="_x0000_i1025" o:hralign="center" o:hrstd="t" o:hr="t" style="width:0pt;height:1.5pt;visibility:visible" fillcolor="#A0A0A0" stroked="false" strokeweight="0.75pt"/>
              </w:pict>
            </w:r>
          </w:p>
          <w:tbl>
            <w:tblPr>
              <w:tblW w:w="5000" w:type="pct"/>
              <w:jc w:val="left"/>
              <w:tblCellSpacing w:w="30" w:type="dxa"/>
              <w:tblBorders>
                <w:top w:val="nil"/>
                <w:left w:val="nil"/>
                <w:bottom w:val="nil"/>
                <w:right w:val="nil"/>
                <w:insideH w:val="nil"/>
                <w:insideV w:val="nil"/>
              </w:tblBorders>
            </w:tblPr>
            <w:tr>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(City)</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(State)</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(Zip)</w:t>
                  </w:r>
                </w:p>
              </w:tc>
            </w:tr>
          </w:tbl>
          <w:p>
            <w:pPr/>
          </w:p>
        </w:tc>
      </w:tr>
      <w:tr>
        <w:trPr>
          <w:cnfStyle w:val="000000000000"/>
        </w:trPr>
        <w:tc>
          <w:tcPr>
            <w:cnfStyle w:val="000000000000"/>
            <w:vAlign w:val="top"/>
          </w:tcPr>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 Name and Address of Reporting Person</w:t>
            </w:r>
            <w:r>
              <w:rPr>
                <w:rFonts w:ascii="Times New Roman" w:eastAsia="Times New Roman" w:hAnsi="Times New Roman" w:cs="Times New Roman"/>
                <w:vertAlign w:val="superscript"/>
              </w:rPr>
              <w:t>*</w:t>
            </w:r>
          </w:p>
          <w:tbl>
            <w:tblPr>
              <w:tblW w:w="5000" w:type="pct"/>
              <w:jc w:val="left"/>
              <w:tblCellSpacing w:w="30" w:type="dxa"/>
              <w:tblBorders>
                <w:top w:val="nil"/>
                <w:left w:val="nil"/>
                <w:bottom w:val="nil"/>
                <w:right w:val="nil"/>
                <w:insideH w:val="nil"/>
                <w:insideV w:val="nil"/>
              </w:tblBorders>
            </w:tblPr>
            <w:tr>
              <w:tc>
                <w:tcPr>
                  <w:vAlign w:val="center"/>
                </w:tcPr>
                <w:p>
                  <w:pPr>
                    <w:spacing w:before="0" w:after="0" w:lineRule="atLeast" w:line="240"/>
                    <w:rPr>
                      <w:rFonts w:ascii="Times New Roman" w:eastAsia="Times New Roman" w:hAnsi="Times New Roman" w:cs="Times New Roman"/>
                      <w:sz w:val="30"/>
                      <w:szCs w:val="30"/>
                    </w:rPr>
                  </w:pPr>
                  <w:r>
                    <w:fldChar w:fldCharType="begin"/>
                  </w:r>
                  <w:r>
                    <w:instrText xml:space="preserve">HYPERLINK </w:instrText>
                  </w:r>
                  <w:r>
                    <w:instrText>/cgi-bin/browse-edgar?action=getcompany&amp;CIK=0001675365</w:instrText>
                  </w:r>
                  <w:r>
                    <w:fldChar w:fldCharType="separate"/>
                  </w:r>
                  <w:r>
                    <w:rPr>
                      <w:rFonts w:ascii="Times New Roman" w:eastAsia="Times New Roman" w:hAnsi="Times New Roman" w:cs="Times New Roman"/>
                      <w:color w:val="0000EE"/>
                      <w:sz w:val="30"/>
                      <w:szCs w:val="30"/>
                      <w:u w:color="0000EE" w:val="single"/>
                    </w:rPr>
                    <w:t>BOFA SECURITIES, INC.</w:t>
                  </w:r>
                  <w:r>
                    <w:fldChar w:fldCharType="end"/>
                  </w:r>
                </w:p>
              </w:tc>
            </w:tr>
          </w:tbl>
          <w:p>
            <w:pPr>
              <w:cnfStyle w:val="000000000000"/>
            </w:pPr>
            <w:r>
              <w:pict>
                <v:rect id="_x0000_i1025" o:hralign="center" o:hrstd="t" o:hr="t" style="width:0pt;height:1.5pt;visibility:visible" fillcolor="#A0A0A0" stroked="false" strokeweight="0.75pt"/>
              </w:pict>
            </w:r>
          </w:p>
          <w:tbl>
            <w:tblPr>
              <w:tblW w:w="5000" w:type="pct"/>
              <w:jc w:val="left"/>
              <w:tblCellSpacing w:w="30" w:type="dxa"/>
              <w:tblBorders>
                <w:top w:val="nil"/>
                <w:left w:val="nil"/>
                <w:bottom w:val="nil"/>
                <w:right w:val="nil"/>
                <w:insideH w:val="nil"/>
                <w:insideV w:val="nil"/>
              </w:tblBorders>
            </w:tblPr>
            <w:tr>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(Last)</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(First)</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(Middle)</w:t>
                  </w:r>
                </w:p>
              </w:tc>
            </w:tr>
          </w:tbl>
          <w:p>
            <w:pPr>
              <w:cnfStyle w:val="000000000000"/>
              <w:spacing w:before="0" w:after="0"/>
              <w:rPr>
                <w:vanish/>
              </w:rPr>
            </w:pPr>
          </w:p>
          <w:tbl>
            <w:tblPr>
              <w:tblW w:w="5000" w:type="pct"/>
              <w:jc w:val="left"/>
              <w:tblCellSpacing w:w="30" w:type="dxa"/>
              <w:tblBorders>
                <w:top w:val="nil"/>
                <w:left w:val="nil"/>
                <w:bottom w:val="nil"/>
                <w:right w:val="nil"/>
                <w:insideH w:val="nil"/>
                <w:insideV w:val="nil"/>
              </w:tblBorders>
            </w:tblP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BANK OF AMERICA CORPORATE CENTER</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100 N TRYON ST</w:t>
                  </w:r>
                </w:p>
              </w:tc>
            </w:tr>
          </w:tbl>
          <w:p>
            <w:pPr>
              <w:cnfStyle w:val="000000000000"/>
            </w:pPr>
            <w:r>
              <w:pict>
                <v:rect id="_x0000_i1025" o:hralign="center" o:hrstd="t" o:hr="t" style="width:0pt;height:1.5pt;visibility:visible" fillcolor="#A0A0A0" stroked="false" strokeweight="0.75pt"/>
              </w:pict>
            </w:r>
          </w:p>
          <w:p>
            <w:pPr>
              <w:cnfStyle w:val="000000000000"/>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(Street)</w:t>
            </w:r>
          </w:p>
          <w:tbl>
            <w:tblPr>
              <w:tblW w:w="5000" w:type="pct"/>
              <w:jc w:val="left"/>
              <w:tblCellSpacing w:w="30" w:type="dxa"/>
              <w:tblBorders>
                <w:top w:val="nil"/>
                <w:left w:val="nil"/>
                <w:bottom w:val="nil"/>
                <w:right w:val="nil"/>
                <w:insideH w:val="nil"/>
                <w:insideV w:val="nil"/>
              </w:tblBorders>
            </w:tblPr>
            <w:tr>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CHARLOTTE</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NC</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28255</w:t>
                  </w:r>
                </w:p>
              </w:tc>
            </w:tr>
          </w:tbl>
          <w:p>
            <w:pPr>
              <w:cnfStyle w:val="000000000000"/>
            </w:pPr>
            <w:r>
              <w:pict>
                <v:rect id="_x0000_i1025" o:hralign="center" o:hrstd="t" o:hr="t" style="width:0pt;height:1.5pt;visibility:visible" fillcolor="#A0A0A0" stroked="false" strokeweight="0.75pt"/>
              </w:pict>
            </w:r>
          </w:p>
          <w:tbl>
            <w:tblPr>
              <w:tblW w:w="5000" w:type="pct"/>
              <w:jc w:val="left"/>
              <w:tblCellSpacing w:w="30" w:type="dxa"/>
              <w:tblBorders>
                <w:top w:val="nil"/>
                <w:left w:val="nil"/>
                <w:bottom w:val="nil"/>
                <w:right w:val="nil"/>
                <w:insideH w:val="nil"/>
                <w:insideV w:val="nil"/>
              </w:tblBorders>
            </w:tblPr>
            <w:tr>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(City)</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(State)</w:t>
                  </w:r>
                </w:p>
              </w:tc>
              <w:tc>
                <w:tcPr>
                  <w:tcW w:w="165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(Zip)</w:t>
                  </w:r>
                </w:p>
              </w:tc>
            </w:tr>
          </w:tbl>
          <w:p>
            <w:pPr/>
          </w:p>
        </w:tc>
      </w:tr>
    </w:tbl>
    <w:p>
      <w:pPr>
        <w:spacing w:before="0" w:after="0"/>
        <w:ind w:left="0" w:right="0"/>
        <w:rPr>
          <w:vanish/>
        </w:rPr>
      </w:pPr>
    </w:p>
    <w:tbl>
      <w:tblPr>
        <w:tblW w:w="5000" w:type="pct"/>
        <w:jc w:val="left"/>
        <w:tblCellSpacing w:w="30" w:type="dxa"/>
        <w:tblInd w:w="0" w:type="dxa"/>
        <w:tblBorders>
          <w:top w:val="nil"/>
          <w:left w:val="nil"/>
          <w:bottom w:val="nil"/>
          <w:right w:val="nil"/>
          <w:insideH w:val="nil"/>
          <w:insideV w:val="nil"/>
        </w:tblBorders>
      </w:tblP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Explanation of Responses:</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1. The Common Stock Shares ("Shares") reported in Table I represent shares beneficially owned by BofA Securities, Inc., a wholly owned subsidiary of Bank of America Corporation ("Bank of America").</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Remarks:</w:t>
            </w:r>
          </w:p>
        </w:tc>
      </w:tr>
      <w:tr>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Exhibit: 99.1 Bank of America Corporation Power of Attorney 99.2 BofA Securities, Inc. Power of Attorney</w:t>
            </w:r>
          </w:p>
        </w:tc>
      </w:tr>
    </w:tbl>
    <w:p>
      <w:pPr>
        <w:spacing w:before="0" w:after="0"/>
        <w:ind w:left="0" w:right="0"/>
        <w:rPr>
          <w:vanish/>
        </w:rPr>
      </w:pPr>
    </w:p>
    <w:tbl>
      <w:tblPr>
        <w:tblW w:w="5000" w:type="pct"/>
        <w:jc w:val="left"/>
        <w:tblCellSpacing w:w="30" w:type="dxa"/>
        <w:tblInd w:w="0" w:type="dxa"/>
        <w:tblBorders>
          <w:top w:val="nil"/>
          <w:left w:val="nil"/>
          <w:bottom w:val="nil"/>
          <w:right w:val="nil"/>
          <w:insideH w:val="nil"/>
          <w:insideV w:val="nil"/>
        </w:tblBorders>
      </w:tblPr>
      <w:tr>
        <w:tc>
          <w:tcPr>
            <w:tcW w:w="3000" w:type="pct"/>
            <w:vAlign w:val="center"/>
          </w:tcPr>
          <w:p>
            <w:pPr>
              <w:spacing w:before="0" w:after="0" w:lineRule="atLeast" w:line="240"/>
              <w:rPr>
                <w:rFonts w:ascii="Times New Roman" w:eastAsia="Times New Roman" w:hAnsi="Times New Roman" w:cs="Times New Roman"/>
                <w:sz w:val="30"/>
                <w:szCs w:val="30"/>
              </w:rPr>
            </w:pPr>
          </w:p>
        </w:tc>
        <w:tc>
          <w:tcPr>
            <w:tcW w:w="100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Andres Ortiz, on behalf of BofA Securities, Inc.</w:t>
            </w:r>
          </w:p>
        </w:tc>
        <w:tc>
          <w:tcPr>
            <w:tcW w:w="100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04/10/2023</w:t>
            </w:r>
          </w:p>
        </w:tc>
      </w:tr>
      <w:tr>
        <w:tc>
          <w:tcPr>
            <w:tcW w:w="3000" w:type="pct"/>
            <w:vAlign w:val="center"/>
          </w:tcPr>
          <w:p>
            <w:pPr>
              <w:spacing w:before="0" w:after="0" w:lineRule="atLeast" w:line="240"/>
              <w:rPr>
                <w:rFonts w:ascii="Times New Roman" w:eastAsia="Times New Roman" w:hAnsi="Times New Roman" w:cs="Times New Roman"/>
                <w:sz w:val="30"/>
                <w:szCs w:val="30"/>
              </w:rPr>
            </w:pPr>
          </w:p>
        </w:tc>
        <w:tc>
          <w:tcPr>
            <w:tcW w:w="100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Andres Ortiz, on behalf of Bank of America Corporation</w:t>
            </w:r>
          </w:p>
        </w:tc>
        <w:tc>
          <w:tcPr>
            <w:tcW w:w="1000" w:type="pct"/>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u w:color="000000" w:val="single"/>
              </w:rPr>
              <w:t>04/10/2023</w:t>
            </w:r>
          </w:p>
        </w:tc>
      </w:tr>
      <w:tr>
        <w:tc>
          <w:tcPr>
            <w:vAlign w:val="center"/>
          </w:tcPr>
          <w:p>
            <w:pPr>
              <w:spacing w:before="0" w:after="0" w:lineRule="atLeast" w:line="240"/>
              <w:rPr>
                <w:rFonts w:ascii="Times New Roman" w:eastAsia="Times New Roman" w:hAnsi="Times New Roman" w:cs="Times New Roman"/>
                <w:sz w:val="30"/>
                <w:szCs w:val="30"/>
              </w:rPr>
            </w:pP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Signature of Reporting Person</w:t>
            </w:r>
          </w:p>
        </w:tc>
        <w:tc>
          <w:tcPr>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Date</w:t>
            </w:r>
          </w:p>
        </w:tc>
      </w:tr>
      <w:tr>
        <w:tc>
          <w:tcPr>
            <w:gridSpan w:val="3"/>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Reminder: Report on a separate line for each class of securities beneficially owned directly or indirectly.</w:t>
            </w:r>
          </w:p>
        </w:tc>
      </w:tr>
      <w:tr>
        <w:tc>
          <w:tcPr>
            <w:gridSpan w:val="3"/>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If the form is filed by more than one reporting person, </w:t>
            </w:r>
            <w:r>
              <w:rPr>
                <w:rFonts w:ascii="Times New Roman" w:eastAsia="Times New Roman" w:hAnsi="Times New Roman" w:cs="Times New Roman"/>
                <w:i/>
                <w:sz w:val="30"/>
                <w:szCs w:val="30"/>
              </w:rPr>
              <w:t>see</w:t>
            </w:r>
            <w:r>
              <w:rPr>
                <w:rFonts w:ascii="Times New Roman" w:eastAsia="Times New Roman" w:hAnsi="Times New Roman" w:cs="Times New Roman"/>
                <w:sz w:val="30"/>
                <w:szCs w:val="30"/>
              </w:rPr>
              <w:t xml:space="preserve"> Instruction 5 (b)(v).</w:t>
            </w:r>
          </w:p>
        </w:tc>
      </w:tr>
      <w:tr>
        <w:tc>
          <w:tcPr>
            <w:gridSpan w:val="3"/>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Intentional misstatements or omissions of facts constitute Federal Criminal Violations </w:t>
            </w:r>
            <w:r>
              <w:rPr>
                <w:rFonts w:ascii="Times New Roman" w:eastAsia="Times New Roman" w:hAnsi="Times New Roman" w:cs="Times New Roman"/>
                <w:i/>
                <w:sz w:val="30"/>
                <w:szCs w:val="30"/>
              </w:rPr>
              <w:t>See</w:t>
            </w:r>
            <w:r>
              <w:rPr>
                <w:rFonts w:ascii="Times New Roman" w:eastAsia="Times New Roman" w:hAnsi="Times New Roman" w:cs="Times New Roman"/>
                <w:sz w:val="30"/>
                <w:szCs w:val="30"/>
              </w:rPr>
              <w:t xml:space="preserve"> 18 U.S.C. 1001 and 15 U.S.C. 78ff(a).</w:t>
            </w:r>
          </w:p>
        </w:tc>
      </w:tr>
      <w:tr>
        <w:tc>
          <w:tcPr>
            <w:gridSpan w:val="3"/>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Note: File three copies of this Form, one of which must be manually signed. If space is insufficient, </w:t>
            </w:r>
            <w:r>
              <w:rPr>
                <w:rFonts w:ascii="Times New Roman" w:eastAsia="Times New Roman" w:hAnsi="Times New Roman" w:cs="Times New Roman"/>
                <w:i/>
                <w:sz w:val="30"/>
                <w:szCs w:val="30"/>
              </w:rPr>
              <w:t>see</w:t>
            </w:r>
            <w:r>
              <w:rPr>
                <w:rFonts w:ascii="Times New Roman" w:eastAsia="Times New Roman" w:hAnsi="Times New Roman" w:cs="Times New Roman"/>
                <w:sz w:val="30"/>
                <w:szCs w:val="30"/>
              </w:rPr>
              <w:t xml:space="preserve"> Instruction 6 for procedure.</w:t>
            </w:r>
          </w:p>
        </w:tc>
      </w:tr>
      <w:tr>
        <w:tc>
          <w:tcPr>
            <w:gridSpan w:val="3"/>
            <w:vAlign w:val="center"/>
          </w:tcPr>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Persons who respond to the collection of information contained in this form are not required to respond unless the form displays a currently valid OMB Number.</w:t>
            </w:r>
          </w:p>
        </w:tc>
      </w:tr>
    </w:tbl>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X0206</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3</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2023-03-31</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0</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0001842916</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Forum Merger IV Corp</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FMIV</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0000070858</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BANK OF AMERICA CORP /DE/</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BANK OF AMERICA CORPORATE CENTER</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100 N TRYON ST</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CHARLOTTE</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NC</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28255</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0</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0</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1</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0</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0001675365</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BOFA SECURITIES, INC.</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BANK OF AMERICA CORPORATE CENTER</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100 N TRYON ST</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CHARLOTTE</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NC</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28255</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0</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0</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1</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0</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Common Stock</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1182332</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I</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By Subsidiary</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The Common Stock Shares ("Shares") reported in Table I represent shares beneficially owned by BofA Securities, Inc., a wholly owned subsidiary of Bank of America Corporation ("Bank of America").</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Exhibit: 99.1 Bank of America Corporation Power of Attorney 99.2 BofA Securities, Inc. Power of Attorney</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Andres Ortiz, on behalf of BofA Securities, Inc.</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2023-04-10</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Andres Ortiz, on behalf of Bank of America Corporation</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2023-04-10</w:t>
      </w:r>
      <w:r>
        <w:rPr>
          <w:rFonts w:ascii="Times New Roman" w:eastAsia="Times New Roman" w:hAnsi="Times New Roman" w:cs="Times New Roman"/>
          <w:sz w:val="30"/>
          <w:szCs w:val="30"/>
        </w:rPr>
        <w:t xml:space="preserve"> </w:t>
      </w:r>
      <w:r>
        <w:rPr>
          <w:rFonts w:ascii="Times New Roman" w:eastAsia="Times New Roman" w:hAnsi="Times New Roman" w:cs="Times New Roman"/>
          <w:sz w:val="30"/>
          <w:szCs w:val="30"/>
        </w:rPr>
        <w:t xml:space="preserve">EX-99.1 </w:t>
      </w:r>
      <w:r>
        <w:rPr>
          <w:rFonts w:ascii="Times New Roman" w:eastAsia="Times New Roman" w:hAnsi="Times New Roman" w:cs="Times New Roman"/>
          <w:sz w:val="30"/>
          <w:szCs w:val="30"/>
        </w:rPr>
        <w:t xml:space="preserve">2 </w:t>
      </w:r>
      <w:r>
        <w:rPr>
          <w:rFonts w:ascii="Times New Roman" w:eastAsia="Times New Roman" w:hAnsi="Times New Roman" w:cs="Times New Roman"/>
          <w:sz w:val="30"/>
          <w:szCs w:val="30"/>
        </w:rPr>
        <w:t>bacpoa.htm</w:t>
      </w:r>
    </w:p>
    <w:p>
      <w:pPr>
        <w:spacing w:before="0" w:after="0" w:lineRule="atLeast" w:line="240"/>
        <w:ind w:left="0" w:right="0"/>
        <w:jc w:val="left"/>
        <w:rPr>
          <w:rFonts w:ascii="times new roman" w:eastAsia="times new roman" w:hAnsi="times new roman" w:cs="times new roman"/>
          <w:color w:val="000000"/>
          <w:sz w:val="30"/>
          <w:szCs w:val="30"/>
        </w:rPr>
      </w:pPr>
    </w:p>
    <w:p>
      <w:pPr>
        <w:spacing w:before="37" w:after="0" w:lineRule="atLeast" w:line="240"/>
        <w:ind w:left="3198" w:right="3182"/>
        <w:jc w:val="center"/>
        <w:rPr>
          <w:rFonts w:ascii="times new roman" w:eastAsia="times new roman" w:hAnsi="times new roman" w:cs="times new roman"/>
          <w:b/>
          <w:bCs/>
          <w:color w:val="000000"/>
          <w:sz w:val="30"/>
          <w:szCs w:val="30"/>
        </w:rPr>
      </w:pPr>
      <w:r>
        <w:rPr>
          <w:rFonts w:ascii="times new roman" w:eastAsia="times new roman" w:hAnsi="times new roman" w:cs="times new roman"/>
          <w:b/>
          <w:bCs/>
          <w:color w:val="000000"/>
          <w:sz w:val="30"/>
          <w:szCs w:val="30"/>
        </w:rPr>
        <w:t>BANK OF AMERICA CORPORATION LIMITED POWER OF ATTORNEY</w:t>
      </w:r>
    </w:p>
    <w:p>
      <w:pPr>
        <w:spacing w:before="0" w:after="0" w:lineRule="atLeast" w:line="240"/>
        <w:ind w:left="0" w:right="0"/>
        <w:jc w:val="left"/>
        <w:rPr>
          <w:rFonts w:ascii="times new roman" w:eastAsia="times new roman" w:hAnsi="times new roman" w:cs="times new roman"/>
          <w:color w:val="000000"/>
          <w:sz w:val="30"/>
          <w:szCs w:val="30"/>
        </w:rPr>
      </w:pPr>
    </w:p>
    <w:p>
      <w:pPr>
        <w:spacing w:before="183" w:after="0" w:lineRule="atLeast" w:line="240"/>
        <w:ind w:left="100" w:right="129"/>
        <w:jc w:val="left"/>
        <w:rPr>
          <w:rFonts w:ascii="times new roman" w:eastAsia="times new roman" w:hAnsi="times new roman" w:cs="times new roman"/>
          <w:color w:val="000000"/>
          <w:sz w:val="30"/>
          <w:szCs w:val="30"/>
        </w:rPr>
      </w:pPr>
      <w:r>
        <w:rPr>
          <w:rFonts w:ascii="times new roman" w:eastAsia="times new roman" w:hAnsi="times new roman" w:cs="times new roman"/>
          <w:b/>
          <w:bCs/>
          <w:color w:val="000000"/>
          <w:sz w:val="30"/>
          <w:szCs w:val="30"/>
        </w:rPr>
        <w:t>BANK OF AMERICA CORPORATION</w:t>
      </w:r>
      <w:r>
        <w:rPr>
          <w:rFonts w:ascii="times new roman" w:eastAsia="times new roman" w:hAnsi="times new roman" w:cs="times new roman"/>
          <w:color w:val="000000"/>
          <w:sz w:val="30"/>
          <w:szCs w:val="30"/>
        </w:rPr>
        <w:t>, a Delaware corporation (the “Corporation”), does hereby make, constitute, and appoint each of Kelvin Kwok, Tolu Tade, Andres Ortiz Custodio, Frank Lui, James Todd, Zainab Tarteel, Hannah Chae and Monica Yako as an attorney-in-fact for the Corporation acting for the Corporation and in the Corporation’s name, place and stead, for the Corporation’s use and benefit, to bind the Corporation by their execution of those agreements, forms and documents related specifically to Section 13 and Section 16 of the Securities Exchange Act of 1934, and other large shareholder and short position regulatory reporting requirements in other jurisdictions.</w:t>
      </w:r>
    </w:p>
    <w:p>
      <w:pPr>
        <w:spacing w:before="158" w:after="0" w:lineRule="atLeast" w:line="240"/>
        <w:ind w:left="100" w:right="129"/>
        <w:jc w:val="left"/>
        <w:rPr>
          <w:rFonts w:ascii="times new roman" w:eastAsia="times new roman" w:hAnsi="times new roman" w:cs="times new roman"/>
          <w:color w:val="000000"/>
          <w:sz w:val="30"/>
          <w:szCs w:val="30"/>
        </w:rPr>
      </w:pPr>
      <w:r>
        <w:rPr>
          <w:rFonts w:ascii="times new roman" w:eastAsia="times new roman" w:hAnsi="times new roman" w:cs="times new roman"/>
          <w:color w:val="000000"/>
          <w:sz w:val="30"/>
          <w:szCs w:val="30"/>
        </w:rPr>
        <w:t>Any documents executed by an attorney-in-fact in accordance with this Limited Power of Attorney shall fully bind and commit the Corporation and all other parties to such documents may rely upon the execution thereof by the attorney-in fact as if executed by the Corporation and as the true and lawful act of the Corporation.</w:t>
      </w:r>
    </w:p>
    <w:p>
      <w:pPr>
        <w:spacing w:before="160" w:after="0" w:lineRule="atLeast" w:line="240"/>
        <w:ind w:left="100" w:right="104"/>
        <w:jc w:val="left"/>
        <w:rPr>
          <w:rFonts w:ascii="times new roman" w:eastAsia="times new roman" w:hAnsi="times new roman" w:cs="times new roman"/>
          <w:color w:val="000000"/>
          <w:sz w:val="30"/>
          <w:szCs w:val="30"/>
        </w:rPr>
      </w:pPr>
      <w:r>
        <w:rPr>
          <w:rFonts w:ascii="times new roman" w:eastAsia="times new roman" w:hAnsi="times new roman" w:cs="times new roman"/>
          <w:color w:val="000000"/>
          <w:sz w:val="30"/>
          <w:szCs w:val="30"/>
        </w:rPr>
        <w:t>This Limited Power of Attorney shall automatically terminate as to the authority of Kelvin Kwok, Tolu Tade, Andres Ortiz Custodio, Frank Lui, James Todd, Zainab Tarteel, Hannah Chae and Monica Yako upon the earlier of the date period of 12 months from the date hereof or the attorney-in-fact’s resignation or termination from or transfer out of the Compliance and Operational Risk Department; however, any such resignation, termination or transfer shall have no impact on any documents or instruments executed by any attorney-in-fact named above for the Corporation prior to such resignation, termination or transfer.</w:t>
      </w:r>
    </w:p>
    <w:p>
      <w:pPr>
        <w:spacing w:before="159" w:after="0" w:lineRule="atLeast" w:line="240"/>
        <w:ind w:left="100" w:right="129"/>
        <w:jc w:val="left"/>
        <w:rPr>
          <w:rFonts w:ascii="times new roman" w:eastAsia="times new roman" w:hAnsi="times new roman" w:cs="times new roman"/>
          <w:color w:val="000000"/>
          <w:sz w:val="30"/>
          <w:szCs w:val="30"/>
        </w:rPr>
      </w:pPr>
      <w:r>
        <w:rPr>
          <w:rFonts w:ascii="times new roman" w:eastAsia="times new roman" w:hAnsi="times new roman" w:cs="times new roman"/>
          <w:color w:val="000000"/>
          <w:sz w:val="30"/>
          <w:szCs w:val="30"/>
        </w:rPr>
        <w:t>This Limited Power of Attorney shall revoke the Limited Power of Attorney executed by the Corporation on July 9, 2021; however, such revocation shall have no impact on any actions taken pursuant to that Power of Attorney.</w:t>
      </w:r>
    </w:p>
    <w:p>
      <w:pPr>
        <w:spacing w:before="159" w:after="0" w:lineRule="atLeast" w:line="240"/>
        <w:ind w:left="100" w:right="129"/>
        <w:jc w:val="left"/>
        <w:rPr>
          <w:rFonts w:ascii="times new roman" w:eastAsia="times new roman" w:hAnsi="times new roman" w:cs="times new roman"/>
          <w:color w:val="000000"/>
          <w:sz w:val="30"/>
          <w:szCs w:val="30"/>
        </w:rPr>
      </w:pPr>
      <w:r>
        <w:rPr>
          <w:rFonts w:ascii="times new roman" w:eastAsia="times new roman" w:hAnsi="times new roman" w:cs="times new roman"/>
          <w:b/>
          <w:bCs/>
          <w:color w:val="000000"/>
          <w:sz w:val="30"/>
          <w:szCs w:val="30"/>
        </w:rPr>
        <w:t>IN WITNESS WHEREOF</w:t>
      </w:r>
      <w:r>
        <w:rPr>
          <w:rFonts w:ascii="times new roman" w:eastAsia="times new roman" w:hAnsi="times new roman" w:cs="times new roman"/>
          <w:color w:val="000000"/>
          <w:sz w:val="30"/>
          <w:szCs w:val="30"/>
        </w:rPr>
        <w:t>, this Power of Attorney has been executed and delivered by the Corporation to the Attorney-in-Fact on this 4</w:t>
      </w:r>
      <w:r>
        <w:rPr>
          <w:rFonts w:ascii="times new roman" w:eastAsia="times new roman" w:hAnsi="times new roman" w:cs="times new roman"/>
          <w:color w:val="000000"/>
        </w:rPr>
        <w:t>th</w:t>
      </w:r>
      <w:r>
        <w:rPr>
          <w:rFonts w:ascii="times new roman" w:eastAsia="times new roman" w:hAnsi="times new roman" w:cs="times new roman"/>
          <w:color w:val="000000"/>
          <w:sz w:val="30"/>
          <w:szCs w:val="30"/>
        </w:rPr>
        <w:t xml:space="preserve"> day of May, 2022.</w:t>
      </w:r>
    </w:p>
    <w:p>
      <w:pPr>
        <w:spacing w:before="0" w:after="0" w:lineRule="atLeast" w:line="240"/>
        <w:ind w:left="0" w:right="0"/>
        <w:jc w:val="left"/>
        <w:rPr>
          <w:rFonts w:ascii="times new roman" w:eastAsia="times new roman" w:hAnsi="times new roman" w:cs="times new roman"/>
          <w:color w:val="000000"/>
          <w:sz w:val="30"/>
          <w:szCs w:val="30"/>
        </w:rPr>
      </w:pPr>
    </w:p>
    <w:p>
      <w:pPr>
        <w:spacing w:before="10" w:after="0" w:lineRule="atLeast" w:line="240"/>
        <w:ind w:left="0" w:right="0"/>
        <w:jc w:val="left"/>
        <w:rPr>
          <w:rFonts w:ascii="times new roman" w:eastAsia="times new roman" w:hAnsi="times new roman" w:cs="times new roman"/>
          <w:color w:val="000000"/>
          <w:sz w:val="30"/>
          <w:szCs w:val="30"/>
        </w:rPr>
      </w:pPr>
    </w:p>
    <w:p>
      <w:pPr>
        <w:spacing w:before="0" w:after="0" w:lineRule="atLeast" w:line="240"/>
        <w:ind w:left="3700" w:right="0"/>
        <w:jc w:val="left"/>
        <w:rPr>
          <w:rFonts w:ascii="times new roman" w:eastAsia="times new roman" w:hAnsi="times new roman" w:cs="times new roman"/>
          <w:b/>
          <w:bCs/>
          <w:color w:val="000000"/>
          <w:sz w:val="30"/>
          <w:szCs w:val="30"/>
        </w:rPr>
      </w:pPr>
      <w:r>
        <w:rPr>
          <w:rFonts w:ascii="times new roman" w:eastAsia="times new roman" w:hAnsi="times new roman" w:cs="times new roman"/>
          <w:b/>
          <w:bCs/>
          <w:color w:val="000000"/>
          <w:sz w:val="30"/>
          <w:szCs w:val="30"/>
        </w:rPr>
        <w:t>BANK OF AMERICA CORPORATION</w:t>
      </w:r>
    </w:p>
    <w:p>
      <w:pPr>
        <w:spacing w:before="0" w:after="0" w:lineRule="atLeast" w:line="240"/>
        <w:ind w:left="0" w:right="0"/>
        <w:jc w:val="left"/>
        <w:rPr>
          <w:rFonts w:ascii="times new roman" w:eastAsia="times new roman" w:hAnsi="times new roman" w:cs="times new roman"/>
          <w:color w:val="000000"/>
          <w:sz w:val="30"/>
          <w:szCs w:val="30"/>
        </w:rPr>
      </w:pPr>
    </w:p>
    <w:p>
      <w:pPr>
        <w:spacing w:before="9" w:after="0" w:lineRule="atLeast" w:line="240"/>
        <w:ind w:left="0" w:right="0"/>
        <w:jc w:val="left"/>
        <w:rPr>
          <w:rFonts w:ascii="times new roman" w:eastAsia="times new roman" w:hAnsi="times new roman" w:cs="times new roman"/>
          <w:color w:val="000000"/>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3996" w:type="dxa"/>
            <w:vAlign w:val="center"/>
          </w:tcPr>
          <w:p>
            <w:pPr>
              <w:spacing w:before="0" w:after="0" w:lineRule="atLeast" w:line="240"/>
              <w:jc w:val="left"/>
              <w:rPr>
                <w:rFonts w:ascii="times new roman" w:eastAsia="times new roman" w:hAnsi="times new roman" w:cs="times new roman"/>
                <w:color w:val="000000"/>
                <w:sz w:val="20"/>
                <w:szCs w:val="20"/>
              </w:rPr>
            </w:pPr>
          </w:p>
        </w:tc>
        <w:tc>
          <w:tcPr>
            <w:tcW w:w="425" w:type="dxa"/>
            <w:vAlign w:val="top"/>
          </w:tcPr>
          <w:p>
            <w:pPr>
              <w:spacing w:before="0" w:after="0" w:lineRule="atLeast" w:line="240"/>
              <w:jc w:val="lef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By:          </w:t>
            </w:r>
          </w:p>
        </w:tc>
        <w:tc>
          <w:tcPr>
            <w:tcW w:w="4065" w:type="dxa"/>
            <w:vAlign w:val="top"/>
          </w:tcPr>
          <w:p>
            <w:pPr>
              <w:spacing w:before="0" w:after="0" w:lineRule="atLeast" w:line="240"/>
              <w:jc w:val="lef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u w:color="000000" w:val="single"/>
              </w:rPr>
              <w:t>Allison L. Gilliam</w:t>
            </w:r>
          </w:p>
        </w:tc>
        <w:tc>
          <w:tcPr>
            <w:vAlign w:val="top"/>
          </w:tcPr>
          <w:p>
            <w:pPr>
              <w:spacing w:before="0" w:after="0" w:lineRule="atLeast" w:line="240"/>
              <w:jc w:val="left"/>
              <w:rPr>
                <w:rFonts w:ascii="times new roman" w:eastAsia="times new roman" w:hAnsi="times new roman" w:cs="times new roman"/>
                <w:color w:val="000000"/>
                <w:sz w:val="20"/>
                <w:szCs w:val="20"/>
              </w:rPr>
            </w:pPr>
          </w:p>
        </w:tc>
      </w:tr>
    </w:tbl>
    <w:p>
      <w:pPr>
        <w:spacing w:before="0" w:after="0" w:lineRule="atLeast" w:line="240"/>
        <w:ind w:left="0" w:right="0"/>
        <w:jc w:val="left"/>
        <w:rPr>
          <w:rFonts w:ascii="times new roman" w:eastAsia="times new roman" w:hAnsi="times new roman" w:cs="times new roman"/>
          <w:color w:val="000000"/>
          <w:sz w:val="30"/>
          <w:szCs w:val="30"/>
        </w:rPr>
      </w:pPr>
    </w:p>
    <w:p>
      <w:pPr>
        <w:spacing w:before="0" w:after="0" w:lineRule="atLeast" w:line="240"/>
        <w:ind w:left="4421" w:right="1051" w:hanging="425"/>
        <w:jc w:val="left"/>
        <w:rPr>
          <w:rFonts w:ascii="times new roman" w:eastAsia="times new roman" w:hAnsi="times new roman" w:cs="times new roman"/>
          <w:color w:val="000000"/>
          <w:sz w:val="30"/>
          <w:szCs w:val="30"/>
        </w:rPr>
      </w:pPr>
      <w:r>
        <w:rPr>
          <w:rFonts w:ascii="times new roman" w:eastAsia="times new roman" w:hAnsi="times new roman" w:cs="times new roman"/>
          <w:color w:val="000000"/>
          <w:sz w:val="30"/>
          <w:szCs w:val="30"/>
        </w:rPr>
        <w:t>Allison L. Gilliam</w:t>
      </w:r>
    </w:p>
    <w:p>
      <w:pPr>
        <w:spacing w:before="0" w:after="0" w:lineRule="atLeast" w:line="240"/>
        <w:ind w:left="3276" w:right="0" w:firstLine="720"/>
        <w:jc w:val="left"/>
        <w:rPr>
          <w:rFonts w:ascii="times new roman" w:eastAsia="times new roman" w:hAnsi="times new roman" w:cs="times new roman"/>
          <w:color w:val="000000"/>
          <w:sz w:val="30"/>
          <w:szCs w:val="30"/>
        </w:rPr>
      </w:pPr>
      <w:r>
        <w:rPr>
          <w:rFonts w:ascii="times new roman" w:eastAsia="times new roman" w:hAnsi="times new roman" w:cs="times new roman"/>
          <w:color w:val="000000"/>
          <w:sz w:val="30"/>
          <w:szCs w:val="30"/>
        </w:rPr>
        <w:t>Senior Vice President and Assistant Secretary</w:t>
      </w:r>
    </w:p>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EX-99.2 </w:t>
      </w:r>
      <w:r>
        <w:rPr>
          <w:rFonts w:ascii="Times New Roman" w:eastAsia="Times New Roman" w:hAnsi="Times New Roman" w:cs="Times New Roman"/>
          <w:sz w:val="30"/>
          <w:szCs w:val="30"/>
        </w:rPr>
        <w:t xml:space="preserve">3 </w:t>
      </w:r>
      <w:r>
        <w:rPr>
          <w:rFonts w:ascii="Times New Roman" w:eastAsia="Times New Roman" w:hAnsi="Times New Roman" w:cs="Times New Roman"/>
          <w:sz w:val="30"/>
          <w:szCs w:val="30"/>
        </w:rPr>
        <w:t>bofaspoa.htm</w:t>
      </w:r>
    </w:p>
    <w:p>
      <w:pPr>
        <w:spacing w:before="0" w:after="0" w:lineRule="atLeast" w:line="240"/>
        <w:ind w:left="0" w:right="0"/>
        <w:jc w:val="left"/>
        <w:rPr>
          <w:rFonts w:ascii="times new roman" w:eastAsia="times new roman" w:hAnsi="times new roman" w:cs="times new roman"/>
          <w:color w:val="000000"/>
          <w:sz w:val="30"/>
          <w:szCs w:val="30"/>
        </w:rPr>
      </w:pPr>
    </w:p>
    <w:p>
      <w:pPr>
        <w:spacing w:before="2" w:after="0" w:lineRule="atLeast" w:line="240"/>
        <w:ind w:left="0" w:right="0"/>
        <w:jc w:val="left"/>
        <w:rPr>
          <w:rFonts w:ascii="times new roman" w:eastAsia="times new roman" w:hAnsi="times new roman" w:cs="times new roman"/>
          <w:color w:val="000000"/>
          <w:sz w:val="30"/>
          <w:szCs w:val="30"/>
        </w:rPr>
      </w:pPr>
    </w:p>
    <w:p>
      <w:pPr>
        <w:spacing w:before="91" w:after="0" w:lineRule="atLeast" w:line="240"/>
        <w:ind w:left="1037" w:right="1076"/>
        <w:jc w:val="center"/>
        <w:rPr>
          <w:rFonts w:ascii="times new roman" w:eastAsia="times new roman" w:hAnsi="times new roman" w:cs="times new roman"/>
          <w:b/>
          <w:bCs/>
          <w:color w:val="181818"/>
          <w:sz w:val="30"/>
          <w:szCs w:val="30"/>
        </w:rPr>
      </w:pPr>
      <w:r>
        <w:rPr>
          <w:rFonts w:ascii="times new roman" w:eastAsia="times new roman" w:hAnsi="times new roman" w:cs="times new roman"/>
          <w:b/>
          <w:bCs/>
          <w:color w:val="181818"/>
          <w:sz w:val="30"/>
          <w:szCs w:val="30"/>
        </w:rPr>
        <w:t>POWER OF ATTORNEY</w:t>
      </w:r>
    </w:p>
    <w:p>
      <w:pPr>
        <w:spacing w:before="7" w:after="0" w:lineRule="atLeast" w:line="240"/>
        <w:ind w:left="1041" w:right="1061"/>
        <w:jc w:val="center"/>
        <w:rPr>
          <w:rFonts w:ascii="times new roman" w:eastAsia="times new roman" w:hAnsi="times new roman" w:cs="times new roman"/>
          <w:color w:val="181818"/>
          <w:sz w:val="30"/>
          <w:szCs w:val="30"/>
        </w:rPr>
      </w:pPr>
      <w:r>
        <w:rPr>
          <w:rFonts w:ascii="times new roman" w:eastAsia="times new roman" w:hAnsi="times new roman" w:cs="times new roman"/>
          <w:color w:val="181818"/>
          <w:sz w:val="30"/>
          <w:szCs w:val="30"/>
        </w:rPr>
        <w:t>To Prepare and Execute Documents Pursuant to</w:t>
      </w:r>
    </w:p>
    <w:p>
      <w:pPr>
        <w:spacing w:before="21" w:after="0" w:lineRule="atLeast" w:line="240"/>
        <w:ind w:left="1041" w:right="1076"/>
        <w:jc w:val="center"/>
        <w:rPr>
          <w:rFonts w:ascii="times new roman" w:eastAsia="times new roman" w:hAnsi="times new roman" w:cs="times new roman"/>
          <w:color w:val="000000"/>
          <w:sz w:val="30"/>
          <w:szCs w:val="30"/>
        </w:rPr>
      </w:pPr>
      <w:r>
        <w:rPr>
          <w:rFonts w:ascii="times new roman" w:eastAsia="times new roman" w:hAnsi="times new roman" w:cs="times new roman"/>
          <w:color w:val="181818"/>
          <w:sz w:val="30"/>
          <w:szCs w:val="30"/>
        </w:rPr>
        <w:t>Sections 13 and 16 of the Securities and Exchange Act of 1934, as Amended</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And Rules Promulgated thereunder</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by and on Behalf of</w:t>
      </w:r>
    </w:p>
    <w:p>
      <w:pPr>
        <w:spacing w:before="9" w:after="0" w:lineRule="atLeast" w:line="240"/>
        <w:ind w:left="1041" w:right="1067"/>
        <w:jc w:val="center"/>
        <w:rPr>
          <w:rFonts w:ascii="times new roman" w:eastAsia="times new roman" w:hAnsi="times new roman" w:cs="times new roman"/>
          <w:b/>
          <w:bCs/>
          <w:color w:val="181818"/>
          <w:sz w:val="30"/>
          <w:szCs w:val="30"/>
        </w:rPr>
      </w:pPr>
      <w:r>
        <w:rPr>
          <w:rFonts w:ascii="times new roman" w:eastAsia="times new roman" w:hAnsi="times new roman" w:cs="times new roman"/>
          <w:b/>
          <w:bCs/>
          <w:color w:val="181818"/>
          <w:sz w:val="30"/>
          <w:szCs w:val="30"/>
        </w:rPr>
        <w:t>BofA Securities, Inc.</w:t>
      </w:r>
    </w:p>
    <w:p>
      <w:pPr>
        <w:spacing w:before="1" w:after="0" w:lineRule="atLeast" w:line="240"/>
        <w:ind w:left="0" w:right="0"/>
        <w:jc w:val="left"/>
        <w:rPr>
          <w:rFonts w:ascii="times new roman" w:eastAsia="times new roman" w:hAnsi="times new roman" w:cs="times new roman"/>
          <w:color w:val="000000"/>
          <w:sz w:val="30"/>
          <w:szCs w:val="30"/>
        </w:rPr>
      </w:pPr>
    </w:p>
    <w:p>
      <w:pPr>
        <w:spacing w:before="0" w:after="0" w:lineRule="atLeast" w:line="240"/>
        <w:ind w:left="108" w:right="133" w:firstLine="704"/>
        <w:jc w:val="both"/>
        <w:rPr>
          <w:rFonts w:ascii="times new roman" w:eastAsia="times new roman" w:hAnsi="times new roman" w:cs="times new roman"/>
          <w:color w:val="000000"/>
          <w:sz w:val="30"/>
          <w:szCs w:val="30"/>
        </w:rPr>
      </w:pPr>
      <w:r>
        <w:rPr>
          <w:rFonts w:ascii="times new roman" w:eastAsia="times new roman" w:hAnsi="times new roman" w:cs="times new roman"/>
          <w:color w:val="181818"/>
          <w:sz w:val="30"/>
          <w:szCs w:val="30"/>
        </w:rPr>
        <w:t>BofA Securities,</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 xml:space="preserve">Inc. a Delaware corporation (the </w:t>
      </w:r>
      <w:r>
        <w:rPr>
          <w:rFonts w:ascii="times new roman" w:eastAsia="times new roman" w:hAnsi="times new roman" w:cs="times new roman"/>
          <w:color w:val="3D3D3D"/>
          <w:sz w:val="30"/>
          <w:szCs w:val="30"/>
        </w:rPr>
        <w:t>"</w:t>
      </w:r>
      <w:r>
        <w:rPr>
          <w:rFonts w:ascii="times new roman" w:eastAsia="times new roman" w:hAnsi="times new roman" w:cs="times new roman"/>
          <w:color w:val="181818"/>
          <w:sz w:val="30"/>
          <w:szCs w:val="30"/>
        </w:rPr>
        <w:t>Corporation"), hereby appoints Hannah Chae</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Andres Ortiz Custodio, Tze Wei Kelvin Kwok, Frank Liu</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James Todd</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Tolu Tade</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Zainab Tarteel</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 xml:space="preserve">Mei Suet Michelle Wong and Monica Yako as Attorneys-in-Fact for the Corporation (each an </w:t>
      </w:r>
      <w:r>
        <w:rPr>
          <w:rFonts w:ascii="times new roman" w:eastAsia="times new roman" w:hAnsi="times new roman" w:cs="times new roman"/>
          <w:color w:val="3D3D3D"/>
          <w:sz w:val="30"/>
          <w:szCs w:val="30"/>
          <w:u w:color="3D3D3D" w:val="single"/>
        </w:rPr>
        <w:t xml:space="preserve">" </w:t>
      </w:r>
      <w:r>
        <w:rPr>
          <w:rFonts w:ascii="times new roman" w:eastAsia="times new roman" w:hAnsi="times new roman" w:cs="times new roman"/>
          <w:color w:val="181818"/>
          <w:sz w:val="30"/>
          <w:szCs w:val="30"/>
          <w:u w:color="181818" w:val="single"/>
        </w:rPr>
        <w:t>Attorney-in-Fact")</w:t>
      </w:r>
      <w:r>
        <w:rPr>
          <w:rFonts w:ascii="times new roman" w:eastAsia="times new roman" w:hAnsi="times new roman" w:cs="times new roman"/>
          <w:color w:val="181818"/>
          <w:sz w:val="30"/>
          <w:szCs w:val="30"/>
        </w:rPr>
        <w:t xml:space="preserve"> acting for the Corporation and in the Corporation</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s name</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place and stead to:</w:t>
      </w:r>
    </w:p>
    <w:p>
      <w:pPr>
        <w:spacing w:before="0" w:after="0" w:lineRule="atLeast" w:line="240"/>
        <w:ind w:left="0" w:right="0"/>
        <w:jc w:val="left"/>
        <w:rPr>
          <w:rFonts w:ascii="times new roman" w:eastAsia="times new roman" w:hAnsi="times new roman" w:cs="times new roman"/>
          <w:color w:val="000000"/>
          <w:sz w:val="30"/>
          <w:szCs w:val="30"/>
        </w:rPr>
      </w:pPr>
    </w:p>
    <w:p>
      <w:pPr>
        <w:spacing w:before="0" w:after="0" w:lineRule="atLeast" w:line="240"/>
        <w:ind w:left="1498" w:right="133" w:hanging="334"/>
        <w:jc w:val="both"/>
        <w:rPr>
          <w:rFonts w:ascii="times new roman" w:eastAsia="times new roman" w:hAnsi="times new roman" w:cs="times new roman"/>
          <w:color w:val="000000"/>
          <w:sz w:val="30"/>
          <w:szCs w:val="30"/>
        </w:rPr>
      </w:pPr>
      <w:r>
        <w:rPr>
          <w:rFonts w:ascii="times new roman" w:eastAsia="times new roman" w:hAnsi="times new roman" w:cs="times new roman"/>
          <w:color w:val="181818"/>
          <w:sz w:val="30"/>
          <w:szCs w:val="30"/>
        </w:rPr>
        <w:t>1. execute and deliver agreements</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forms and documents arising  during  the Company</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 xml:space="preserve">s ordinary course of business related to all Large Shareholder, Short Position and Takeover Panel regulatory reporting requirements in all applicable jurisdictions </w:t>
      </w:r>
      <w:r>
        <w:rPr>
          <w:rFonts w:ascii="times new roman" w:eastAsia="times new roman" w:hAnsi="times new roman" w:cs="times new roman"/>
          <w:color w:val="3D3D3D"/>
          <w:sz w:val="30"/>
          <w:szCs w:val="30"/>
        </w:rPr>
        <w:t>.</w:t>
      </w:r>
    </w:p>
    <w:p>
      <w:pPr>
        <w:spacing w:before="10" w:after="0" w:lineRule="atLeast" w:line="240"/>
        <w:ind w:left="0" w:right="0"/>
        <w:jc w:val="left"/>
        <w:rPr>
          <w:rFonts w:ascii="times new roman" w:eastAsia="times new roman" w:hAnsi="times new roman" w:cs="times new roman"/>
          <w:color w:val="000000"/>
          <w:sz w:val="30"/>
          <w:szCs w:val="30"/>
        </w:rPr>
      </w:pPr>
    </w:p>
    <w:p>
      <w:pPr>
        <w:spacing w:before="0" w:after="0" w:lineRule="atLeast" w:line="240"/>
        <w:ind w:left="1502" w:right="133" w:hanging="350"/>
        <w:jc w:val="both"/>
        <w:rPr>
          <w:rFonts w:ascii="times new roman" w:eastAsia="times new roman" w:hAnsi="times new roman" w:cs="times new roman"/>
          <w:color w:val="181818"/>
          <w:sz w:val="30"/>
          <w:szCs w:val="30"/>
        </w:rPr>
      </w:pPr>
      <w:r>
        <w:rPr>
          <w:rFonts w:ascii="times new roman" w:eastAsia="times new roman" w:hAnsi="times new roman" w:cs="times new roman"/>
          <w:color w:val="181818"/>
          <w:sz w:val="30"/>
          <w:szCs w:val="30"/>
        </w:rPr>
        <w:t>2. do any act or enter into any other document necessary or ancillary  to  the foregoing.</w:t>
      </w:r>
    </w:p>
    <w:p>
      <w:pPr>
        <w:spacing w:before="8" w:after="0" w:lineRule="atLeast" w:line="240"/>
        <w:ind w:left="0" w:right="0"/>
        <w:jc w:val="left"/>
        <w:rPr>
          <w:rFonts w:ascii="times new roman" w:eastAsia="times new roman" w:hAnsi="times new roman" w:cs="times new roman"/>
          <w:color w:val="000000"/>
          <w:sz w:val="30"/>
          <w:szCs w:val="30"/>
        </w:rPr>
      </w:pPr>
    </w:p>
    <w:p>
      <w:pPr>
        <w:spacing w:before="0" w:after="0" w:lineRule="atLeast" w:line="240"/>
        <w:ind w:left="122" w:right="125" w:firstLine="693"/>
        <w:jc w:val="both"/>
        <w:rPr>
          <w:rFonts w:ascii="times new roman" w:eastAsia="times new roman" w:hAnsi="times new roman" w:cs="times new roman"/>
          <w:color w:val="181818"/>
          <w:sz w:val="30"/>
          <w:szCs w:val="30"/>
        </w:rPr>
      </w:pPr>
      <w:r>
        <w:rPr>
          <w:rFonts w:ascii="times new roman" w:eastAsia="times new roman" w:hAnsi="times new roman" w:cs="times new roman"/>
          <w:color w:val="181818"/>
          <w:sz w:val="30"/>
          <w:szCs w:val="30"/>
        </w:rPr>
        <w:t>Any Documents executed by an Attorney-in-Fact shall fully bind and commit the Corporation and all other parties to such Documents may rely upon the execution thereof by the Attorney-in-Fact as if executed by the Corporation and as the true and lawful act of the Corporation.</w:t>
      </w:r>
    </w:p>
    <w:p>
      <w:pPr>
        <w:spacing w:before="6" w:after="0" w:lineRule="atLeast" w:line="240"/>
        <w:ind w:left="0" w:right="0"/>
        <w:jc w:val="left"/>
        <w:rPr>
          <w:rFonts w:ascii="times new roman" w:eastAsia="times new roman" w:hAnsi="times new roman" w:cs="times new roman"/>
          <w:color w:val="000000"/>
          <w:sz w:val="30"/>
          <w:szCs w:val="30"/>
        </w:rPr>
      </w:pPr>
    </w:p>
    <w:p>
      <w:pPr>
        <w:spacing w:before="0" w:after="0" w:lineRule="atLeast" w:line="240"/>
        <w:ind w:left="817" w:right="0"/>
        <w:jc w:val="both"/>
        <w:rPr>
          <w:rFonts w:ascii="times new roman" w:eastAsia="times new roman" w:hAnsi="times new roman" w:cs="times new roman"/>
          <w:color w:val="000000"/>
          <w:sz w:val="30"/>
          <w:szCs w:val="30"/>
        </w:rPr>
      </w:pPr>
      <w:r>
        <w:rPr>
          <w:rFonts w:ascii="times new roman" w:eastAsia="times new roman" w:hAnsi="times new roman" w:cs="times new roman"/>
          <w:color w:val="181818"/>
          <w:sz w:val="30"/>
          <w:szCs w:val="30"/>
        </w:rPr>
        <w:t>This Power of Attorney shall (i) supersede the Power of Attorney dated August 9</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2019,</w:t>
      </w:r>
    </w:p>
    <w:p>
      <w:pPr>
        <w:spacing w:before="21" w:after="0" w:lineRule="atLeast" w:line="240"/>
        <w:ind w:left="123" w:right="120" w:hanging="1"/>
        <w:jc w:val="both"/>
        <w:rPr>
          <w:rFonts w:ascii="times new roman" w:eastAsia="times new roman" w:hAnsi="times new roman" w:cs="times new roman"/>
          <w:color w:val="000000"/>
          <w:sz w:val="30"/>
          <w:szCs w:val="30"/>
        </w:rPr>
      </w:pPr>
      <w:r>
        <w:rPr>
          <w:rFonts w:ascii="times new roman" w:eastAsia="times new roman" w:hAnsi="times new roman" w:cs="times new roman"/>
          <w:color w:val="181818"/>
          <w:sz w:val="30"/>
          <w:szCs w:val="30"/>
        </w:rPr>
        <w:t>(ii) automatically terminate as to the authority of any Attorney-in-Fact on upon such Attorney-in- Fact's resignation or termination from Bank of America's Global Compliance and Operational Risk Group and (iii) unless earlier terminated under clause (ii), otherwise remain in effect until revoked in writing by the Corporation</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provided however</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such termination shall have no impact on any Document or instrument connected therewith executed by such Attorney-in-Fact for the Corporation prior to such termination.</w:t>
      </w:r>
    </w:p>
    <w:p>
      <w:pPr>
        <w:spacing w:before="8" w:after="0" w:lineRule="atLeast" w:line="240"/>
        <w:ind w:left="0" w:right="0"/>
        <w:jc w:val="left"/>
        <w:rPr>
          <w:rFonts w:ascii="times new roman" w:eastAsia="times new roman" w:hAnsi="times new roman" w:cs="times new roman"/>
          <w:color w:val="000000"/>
          <w:sz w:val="30"/>
          <w:szCs w:val="30"/>
        </w:rPr>
      </w:pPr>
    </w:p>
    <w:p>
      <w:pPr>
        <w:spacing w:before="0" w:after="0" w:lineRule="atLeast" w:line="240"/>
        <w:ind w:left="124" w:right="130" w:firstLine="693"/>
        <w:jc w:val="both"/>
        <w:rPr>
          <w:rFonts w:ascii="times new roman" w:eastAsia="times new roman" w:hAnsi="times new roman" w:cs="times new roman"/>
          <w:color w:val="000000"/>
          <w:sz w:val="30"/>
          <w:szCs w:val="30"/>
        </w:rPr>
      </w:pPr>
      <w:r>
        <w:rPr>
          <w:rFonts w:ascii="times new roman" w:eastAsia="times new roman" w:hAnsi="times new roman" w:cs="times new roman"/>
          <w:color w:val="181818"/>
          <w:sz w:val="30"/>
          <w:szCs w:val="30"/>
        </w:rPr>
        <w:t>The Secretary of the Corporation shall retain this Power of Attorney as an official document of the Corporation</w:t>
      </w:r>
      <w:r>
        <w:rPr>
          <w:rFonts w:ascii="times new roman" w:eastAsia="times new roman" w:hAnsi="times new roman" w:cs="times new roman"/>
          <w:color w:val="3D3D3D"/>
          <w:sz w:val="30"/>
          <w:szCs w:val="30"/>
        </w:rPr>
        <w:t>.</w:t>
      </w:r>
    </w:p>
    <w:p>
      <w:pPr>
        <w:spacing w:before="3" w:after="0" w:lineRule="atLeast" w:line="240"/>
        <w:ind w:left="0" w:right="0"/>
        <w:jc w:val="left"/>
        <w:rPr>
          <w:rFonts w:ascii="times new roman" w:eastAsia="times new roman" w:hAnsi="times new roman" w:cs="times new roman"/>
          <w:color w:val="000000"/>
          <w:sz w:val="30"/>
          <w:szCs w:val="30"/>
        </w:rPr>
      </w:pPr>
    </w:p>
    <w:p>
      <w:pPr>
        <w:spacing w:before="0" w:after="0" w:lineRule="atLeast" w:line="240"/>
        <w:ind w:left="130" w:right="115" w:firstLine="689"/>
        <w:jc w:val="both"/>
        <w:rPr>
          <w:rFonts w:ascii="times new roman" w:eastAsia="times new roman" w:hAnsi="times new roman" w:cs="times new roman"/>
          <w:color w:val="000000"/>
          <w:sz w:val="30"/>
          <w:szCs w:val="30"/>
        </w:rPr>
      </w:pPr>
      <w:r>
        <w:rPr>
          <w:rFonts w:ascii="times new roman" w:eastAsia="times new roman" w:hAnsi="times new roman" w:cs="times new roman"/>
          <w:b/>
          <w:bCs/>
          <w:color w:val="181818"/>
          <w:sz w:val="30"/>
          <w:szCs w:val="30"/>
        </w:rPr>
        <w:t>IN WITNESS WHEREOF</w:t>
      </w:r>
      <w:r>
        <w:rPr>
          <w:rFonts w:ascii="times new roman" w:eastAsia="times new roman" w:hAnsi="times new roman" w:cs="times new roman"/>
          <w:b/>
          <w:bCs/>
          <w:color w:val="3D3D3D"/>
          <w:sz w:val="30"/>
          <w:szCs w:val="30"/>
        </w:rPr>
        <w:t xml:space="preserve">, </w:t>
      </w:r>
      <w:r>
        <w:rPr>
          <w:rFonts w:ascii="times new roman" w:eastAsia="times new roman" w:hAnsi="times new roman" w:cs="times new roman"/>
          <w:color w:val="181818"/>
          <w:sz w:val="30"/>
          <w:szCs w:val="30"/>
        </w:rPr>
        <w:t>this Power of Attorney has been executed and delivered by Corporation to each Attorney-in-Fact on this 25th day of May</w:t>
      </w:r>
      <w:r>
        <w:rPr>
          <w:rFonts w:ascii="times new roman" w:eastAsia="times new roman" w:hAnsi="times new roman" w:cs="times new roman"/>
          <w:color w:val="3D3D3D"/>
          <w:sz w:val="30"/>
          <w:szCs w:val="30"/>
        </w:rPr>
        <w:t xml:space="preserve">, </w:t>
      </w:r>
      <w:r>
        <w:rPr>
          <w:rFonts w:ascii="times new roman" w:eastAsia="times new roman" w:hAnsi="times new roman" w:cs="times new roman"/>
          <w:color w:val="181818"/>
          <w:sz w:val="30"/>
          <w:szCs w:val="30"/>
        </w:rPr>
        <w:t>2022.</w:t>
      </w:r>
    </w:p>
    <w:p>
      <w:pPr>
        <w:spacing w:before="1" w:after="0" w:lineRule="atLeast" w:line="240"/>
        <w:ind w:left="0" w:right="0"/>
        <w:jc w:val="left"/>
        <w:rPr>
          <w:rFonts w:ascii="times new roman" w:eastAsia="times new roman" w:hAnsi="times new roman" w:cs="times new roman"/>
          <w:color w:val="000000"/>
          <w:sz w:val="30"/>
          <w:szCs w:val="30"/>
        </w:rPr>
      </w:pPr>
    </w:p>
    <w:p>
      <w:pPr>
        <w:spacing w:before="0" w:after="0" w:lineRule="atLeast" w:line="240"/>
        <w:ind w:left="4306" w:right="0"/>
        <w:jc w:val="left"/>
        <w:rPr>
          <w:rFonts w:ascii="times new roman" w:eastAsia="times new roman" w:hAnsi="times new roman" w:cs="times new roman"/>
          <w:b/>
          <w:bCs/>
          <w:color w:val="181818"/>
          <w:sz w:val="30"/>
          <w:szCs w:val="30"/>
        </w:rPr>
      </w:pPr>
      <w:r>
        <w:rPr>
          <w:rFonts w:ascii="times new roman" w:eastAsia="times new roman" w:hAnsi="times new roman" w:cs="times new roman"/>
          <w:b/>
          <w:bCs/>
          <w:color w:val="181818"/>
          <w:sz w:val="30"/>
          <w:szCs w:val="30"/>
        </w:rPr>
        <w:t>BofA Securities, Inc.</w:t>
      </w:r>
    </w:p>
    <w:p>
      <w:pPr>
        <w:spacing w:before="0" w:after="0" w:lineRule="atLeast" w:line="240"/>
        <w:ind w:left="4314" w:right="0"/>
        <w:jc w:val="left"/>
        <w:rPr>
          <w:rFonts w:ascii="times new roman" w:eastAsia="times new roman" w:hAnsi="times new roman" w:cs="times new roman"/>
          <w:color w:val="181818"/>
          <w:sz w:val="30"/>
          <w:szCs w:val="30"/>
        </w:rPr>
      </w:pPr>
      <w:r>
        <w:rPr>
          <w:rFonts w:ascii="times new roman" w:eastAsia="times new roman" w:hAnsi="times new roman" w:cs="times new roman"/>
          <w:color w:val="181818"/>
          <w:sz w:val="30"/>
          <w:szCs w:val="30"/>
        </w:rPr>
        <w:t>By:  W. Eric Gallinek</w:t>
      </w:r>
    </w:p>
    <w:p>
      <w:pPr>
        <w:spacing w:before="0" w:after="0" w:lineRule="atLeast" w:line="240"/>
        <w:ind w:left="4307" w:right="0"/>
        <w:jc w:val="left"/>
        <w:rPr>
          <w:rFonts w:ascii="times new roman" w:eastAsia="times new roman" w:hAnsi="times new roman" w:cs="times new roman"/>
          <w:color w:val="181818"/>
          <w:sz w:val="30"/>
          <w:szCs w:val="30"/>
        </w:rPr>
      </w:pPr>
      <w:r>
        <w:rPr>
          <w:rFonts w:ascii="times new roman" w:eastAsia="times new roman" w:hAnsi="times new roman" w:cs="times new roman"/>
          <w:color w:val="181818"/>
          <w:sz w:val="30"/>
          <w:szCs w:val="30"/>
        </w:rPr>
        <w:t>Name: W. Eric Gallinek</w:t>
      </w:r>
    </w:p>
    <w:p>
      <w:pPr>
        <w:spacing w:before="0" w:after="0" w:lineRule="atLeast" w:line="240"/>
        <w:ind w:left="4304" w:right="0"/>
        <w:jc w:val="left"/>
        <w:rPr>
          <w:rFonts w:ascii="times new roman" w:eastAsia="times new roman" w:hAnsi="times new roman" w:cs="times new roman"/>
          <w:color w:val="181818"/>
          <w:sz w:val="30"/>
          <w:szCs w:val="30"/>
        </w:rPr>
      </w:pPr>
      <w:r>
        <w:rPr>
          <w:rFonts w:ascii="times new roman" w:eastAsia="times new roman" w:hAnsi="times new roman" w:cs="times new roman"/>
          <w:color w:val="181818"/>
          <w:sz w:val="30"/>
          <w:szCs w:val="30"/>
        </w:rPr>
        <w:t>Title: Chief Compliance Officer/Broker-Dealer</w:t>
      </w:r>
    </w:p>
    <w:p>
      <w:pPr>
        <w:spacing w:before="18" w:after="0" w:lineRule="atLeast" w:line="240"/>
        <w:ind w:left="4368" w:right="0"/>
        <w:jc w:val="left"/>
        <w:rPr>
          <w:rFonts w:ascii="times new roman" w:eastAsia="times new roman" w:hAnsi="times new roman" w:cs="times new roman"/>
          <w:color w:val="181818"/>
          <w:sz w:val="30"/>
          <w:szCs w:val="30"/>
        </w:rPr>
      </w:pPr>
      <w:r>
        <w:rPr>
          <w:rFonts w:ascii="times new roman" w:eastAsia="times new roman" w:hAnsi="times new roman" w:cs="times new roman"/>
          <w:color w:val="181818"/>
          <w:sz w:val="30"/>
          <w:szCs w:val="30"/>
        </w:rPr>
        <w:t>&amp; Managing Director</w:t>
      </w:r>
    </w:p>
    <w:sectPr>
      <w:pgSz w:w="11907" w:h="16839" w:code="9"/>
      <w:pgMar w:top="200" w:right="300" w:bottom="200" w:left="2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F8D"/>
    <w:rsid w:val="00806F8D"/>
    <w:rsid w:val="00E04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rPr>
    </w:rPrDefault>
    <w:pPrDefault>
      <w:pPr>
        <w:spacing w:after="200" w:lineRule="auto" w:line="276"/>
      </w:pPr>
    </w:pPrDefault>
  </w:docDefaults>
  <w:style w:type="table" w:styleId="Normal Table" w:default="true">
    <w:name w:val="Normal Table"/>
    <w:uiPriority w:val="99"/>
    <w:semiHidden/>
    <w:unhideWhenUsed/>
    <w:qFormat/>
    <w:pPr/>
    <w:rPr/>
    <w:tblPr>
      <w:tblStyleRowBandSize w:val="1"/>
      <w:tblStyleColBandSize w:val="1"/>
      <w:tblInd w:w="0" w:type="dxa"/>
      <w:tblCellMar>
        <w:top w:w="0" w:type="dxa"/>
        <w:left w:w="108" w:type="dxa"/>
        <w:bottom w:w="0" w:type="dxa"/>
        <w:right w:w="108" w:type="dxa"/>
      </w:tblCellMar>
    </w:tblPr>
    <w:trPr/>
    <w:tcPr/>
  </w:style>
  <w:style w:type="table" w:styleId="Table Grid">
    <w:name w:val="Table Grid"/>
    <w:basedOn w:val="Normal Table"/>
    <w:qFormat/>
    <w:pPr>
      <w:spacing w:after="0" w:lineRule="auto" w:line="240"/>
    </w:pPr>
    <w:rPr/>
    <w:tblPr>
      <w:tblStyleRowBandSize w:val="1"/>
      <w:tblStyleColBandSize w:val="1"/>
      <w:tblInd w:w="0" w:type="dxa"/>
      <w:tblBorders>
        <w:top w:val="single" w:sz="4" w:color="000000"/>
        <w:left w:val="single" w:sz="4" w:color="000000"/>
        <w:bottom w:val="single" w:sz="4" w:color="000000"/>
        <w:right w:val="single" w:sz="4" w:color="000000"/>
        <w:insideH w:val="single" w:sz="4" w:color="000000"/>
        <w:insideV w:val="single" w:sz="4" w:color="000000"/>
      </w:tblBorders>
      <w:tblCellMar>
        <w:top w:w="0" w:type="dxa"/>
        <w:left w:w="108" w:type="dxa"/>
        <w:bottom w:w="0" w:type="dxa"/>
        <w:right w:w="108" w:type="dxa"/>
      </w:tblCellMar>
    </w:tblPr>
    <w:trPr/>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