
<file path=[Content_Types].xml><?xml version="1.0" encoding="utf-8"?>
<Types xmlns="http://schemas.openxmlformats.org/package/2006/content-types">
  <Default Extension="xml" ContentType="applicatio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webSettings.xml" ContentType="application/vnd.openxmlformats-officedocument.wordprocessingml.webSettings+xml"/>
  <Override PartName="/word/theme/theme1.xml" ContentType="application/vnd.openxmlformats-officedocument.theme+xml"/>
</Types>
</file>

<file path=_rels/.rels>&#65279;<?xml version="1.0" encoding="UTF-8" standalone="yes"?><Relationships xmlns="http://schemas.openxmlformats.org/package/2006/relationships"><Relationship Id="rId2" Type="http://schemas.openxmlformats.org/package/2006/relationships/metadata/core-properties" Target="docProps/core.xml" /><Relationship Id="rId3" Type="http://schemas.openxmlformats.org/officeDocument/2006/relationships/extended-properties" Target="docProps/app.xml" /><Relationship Id="rId1" Type="http://schemas.openxmlformats.org/officeDocument/2006/relationships/officeDocument" Target="word/document.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p14">
  <w:body>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NT 10-Q </w:t>
      </w:r>
      <w:r>
        <w:rPr>
          <w:rFonts w:ascii="Times New Roman" w:eastAsia="Times New Roman" w:hAnsi="Times New Roman" w:cs="Times New Roman"/>
          <w:sz w:val="30"/>
          <w:szCs w:val="30"/>
        </w:rPr>
        <w:t xml:space="preserve">1 </w:t>
      </w:r>
      <w:r>
        <w:rPr>
          <w:rFonts w:ascii="Times New Roman" w:eastAsia="Times New Roman" w:hAnsi="Times New Roman" w:cs="Times New Roman"/>
          <w:sz w:val="30"/>
          <w:szCs w:val="30"/>
        </w:rPr>
        <w:t xml:space="preserve">g082608_12b-25.htm </w:t>
      </w:r>
      <w:r>
        <w:rPr>
          <w:rFonts w:ascii="Times New Roman" w:eastAsia="Times New Roman" w:hAnsi="Times New Roman" w:cs="Times New Roman"/>
          <w:sz w:val="30"/>
          <w:szCs w:val="30"/>
        </w:rPr>
        <w:t>NT 10-Q</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UNITED STATES</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SECURITIES AND EXCHANGE COMMISSION</w:t>
      </w:r>
      <w:r>
        <w:rPr>
          <w:rFonts w:ascii="times new roman" w:eastAsia="times new roman" w:hAnsi="times new roman" w:cs="times new roman"/>
          <w:sz w:val="20"/>
          <w:szCs w:val="20"/>
        </w:rPr>
        <w:t xml:space="preserve"> </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Washington, D.C. 20549</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8"/>
          <w:szCs w:val="28"/>
        </w:rPr>
        <w:t>FORM 12b-25</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NOTIFICATION OF LATE FILING</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sz w:val="20"/>
          <w:szCs w:val="20"/>
        </w:rPr>
        <w:t>SEC FILE NUMBER      000-54323</w:t>
      </w:r>
    </w:p>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sz w:val="20"/>
          <w:szCs w:val="20"/>
        </w:rPr>
        <w:t>CUSIP NUMBER      75746Q103</w:t>
      </w:r>
    </w:p>
    <w:p>
      <w:pPr>
        <w:spacing w:before="0" w:after="0" w:lineRule="atLeast" w:line="240"/>
        <w:ind w:left="0" w:right="0"/>
        <w:jc w:val="right"/>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20"/>
          <w:szCs w:val="20"/>
        </w:rPr>
        <w:t xml:space="preserve">(Check one): </w:t>
      </w:r>
      <w:r>
        <w:rPr>
          <w:rFonts w:ascii="times new roman" w:eastAsia="times new roman" w:hAnsi="times new roman" w:cs="times new roman"/>
          <w:sz w:val="20"/>
          <w:szCs w:val="20"/>
        </w:rPr>
        <w:t>☐ Form 10-K     ☐ Form 20-F     ☐ Form 11-K     ☒ Form 10-Q     ☐ Form 10-D     ☐ Form N-CEN     ☐ Form N-CSR</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firstLine="108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For Period Ended: December 31, 2021 </w:t>
      </w:r>
    </w:p>
    <w:p>
      <w:pPr>
        <w:spacing w:before="0" w:after="0" w:lineRule="atLeast" w:line="240"/>
        <w:ind w:left="0" w:right="0" w:firstLine="108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Transition Report on 10-K </w:t>
      </w:r>
    </w:p>
    <w:p>
      <w:pPr>
        <w:spacing w:before="0" w:after="0" w:lineRule="atLeast" w:line="240"/>
        <w:ind w:left="0" w:right="0" w:firstLine="108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Transition Report on 20-F </w:t>
      </w:r>
    </w:p>
    <w:p>
      <w:pPr>
        <w:spacing w:before="0" w:after="0" w:lineRule="atLeast" w:line="240"/>
        <w:ind w:left="0" w:right="0" w:firstLine="108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Transition Report on 11-K </w:t>
      </w:r>
    </w:p>
    <w:p>
      <w:pPr>
        <w:spacing w:before="0" w:after="0" w:lineRule="atLeast" w:line="240"/>
        <w:ind w:left="0" w:right="0" w:firstLine="108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Transition Report on 10-Q </w:t>
      </w:r>
    </w:p>
    <w:p>
      <w:pPr>
        <w:spacing w:before="0" w:after="0" w:lineRule="atLeast" w:line="240"/>
        <w:ind w:left="0" w:right="0" w:firstLine="108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Transition Report on N-SAR </w:t>
      </w:r>
    </w:p>
    <w:p>
      <w:pPr>
        <w:spacing w:before="0" w:after="0" w:lineRule="atLeast" w:line="240"/>
        <w:ind w:left="0" w:right="0" w:firstLine="1080"/>
        <w:rPr>
          <w:rFonts w:ascii="Times New Roman" w:eastAsia="Times New Roman" w:hAnsi="Times New Roman" w:cs="Times New Roman"/>
          <w:sz w:val="30"/>
          <w:szCs w:val="30"/>
        </w:rPr>
      </w:pPr>
      <w:r>
        <w:rPr>
          <w:rFonts w:ascii="times new roman" w:eastAsia="times new roman" w:hAnsi="times new roman" w:cs="times new roman"/>
          <w:sz w:val="20"/>
          <w:szCs w:val="20"/>
        </w:rPr>
        <w:t>For the Transition Period Ended:________________________________________________________________</w:t>
      </w:r>
    </w:p>
    <w:p>
      <w:pPr>
        <w:spacing w:before="0" w:after="0" w:lineRule="atLeast" w:line="240"/>
        <w:ind w:left="0" w:right="0" w:firstLine="108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PART I – REGISTRANT INFORMATION</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firstLine="720"/>
        <w:rPr>
          <w:rFonts w:ascii="Times New Roman" w:eastAsia="Times New Roman" w:hAnsi="Times New Roman" w:cs="Times New Roman"/>
          <w:sz w:val="30"/>
          <w:szCs w:val="30"/>
        </w:rPr>
      </w:pPr>
      <w:r>
        <w:rPr>
          <w:rFonts w:ascii="times new roman" w:eastAsia="times new roman" w:hAnsi="times new roman" w:cs="times new roman"/>
          <w:b/>
          <w:bCs/>
          <w:sz w:val="32"/>
          <w:szCs w:val="32"/>
        </w:rPr>
        <w:t>RedHawk Holdings Corp.</w:t>
      </w:r>
    </w:p>
    <w:p>
      <w:pPr>
        <w:pBdr>
          <w:top w:val="single" w:sz="8" w:color="000000"/>
        </w:pBdr>
        <w:spacing w:before="60" w:after="60" w:lineRule="atLeast" w:line="240"/>
        <w:ind w:left="0" w:right="0"/>
        <w:rPr>
          <w:rFonts w:ascii="Times New Roman" w:eastAsia="Times New Roman" w:hAnsi="Times New Roman" w:cs="Times New Roman"/>
          <w:sz w:val="2"/>
          <w:szCs w:val="2"/>
        </w:rPr>
      </w:pPr>
      <w:r>
        <w:rPr>
          <w:rFonts w:ascii="Times New Roman" w:eastAsia="Times New Roman" w:hAnsi="Times New Roman" w:cs="Times New Roman"/>
          <w:sz w:val="2"/>
          <w:szCs w:val="2"/>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Full Name of Registrant</w:t>
      </w:r>
    </w:p>
    <w:p>
      <w:pPr>
        <w:spacing w:before="0" w:after="0" w:lineRule="atLeast" w:line="240"/>
        <w:ind w:left="0" w:right="0"/>
        <w:rPr>
          <w:rFonts w:ascii="Times New Roman" w:eastAsia="Times New Roman" w:hAnsi="Times New Roman" w:cs="Times New Roman"/>
          <w:sz w:val="30"/>
          <w:szCs w:val="30"/>
        </w:rPr>
      </w:pPr>
    </w:p>
    <w:p>
      <w:pPr>
        <w:pBdr>
          <w:top w:val="single" w:sz="8" w:color="000000"/>
        </w:pBdr>
        <w:spacing w:before="60" w:after="60" w:lineRule="atLeast" w:line="240"/>
        <w:ind w:left="0" w:right="0"/>
        <w:rPr>
          <w:rFonts w:ascii="Times New Roman" w:eastAsia="Times New Roman" w:hAnsi="Times New Roman" w:cs="Times New Roman"/>
          <w:sz w:val="2"/>
          <w:szCs w:val="2"/>
        </w:rPr>
      </w:pPr>
      <w:r>
        <w:rPr>
          <w:rFonts w:ascii="Times New Roman" w:eastAsia="Times New Roman" w:hAnsi="Times New Roman" w:cs="Times New Roman"/>
          <w:sz w:val="2"/>
          <w:szCs w:val="2"/>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Former Name if Applicable</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firstLine="720"/>
        <w:rPr>
          <w:rFonts w:ascii="Times New Roman" w:eastAsia="Times New Roman" w:hAnsi="Times New Roman" w:cs="Times New Roman"/>
          <w:sz w:val="30"/>
          <w:szCs w:val="30"/>
        </w:rPr>
      </w:pPr>
      <w:r>
        <w:rPr>
          <w:rFonts w:ascii="times new roman" w:eastAsia="times new roman" w:hAnsi="times new roman" w:cs="times new roman"/>
          <w:b/>
          <w:bCs/>
          <w:sz w:val="24"/>
          <w:szCs w:val="24"/>
        </w:rPr>
        <w:t>100 Petroleum Drive, Suite 200</w:t>
      </w:r>
    </w:p>
    <w:p>
      <w:pPr>
        <w:pBdr>
          <w:top w:val="single" w:sz="8" w:color="000000"/>
        </w:pBdr>
        <w:spacing w:before="60" w:after="60" w:lineRule="atLeast" w:line="240"/>
        <w:ind w:left="0" w:right="0"/>
        <w:rPr>
          <w:rFonts w:ascii="Times New Roman" w:eastAsia="Times New Roman" w:hAnsi="Times New Roman" w:cs="Times New Roman"/>
          <w:sz w:val="2"/>
          <w:szCs w:val="2"/>
        </w:rPr>
      </w:pPr>
      <w:r>
        <w:rPr>
          <w:rFonts w:ascii="Times New Roman" w:eastAsia="Times New Roman" w:hAnsi="Times New Roman" w:cs="Times New Roman"/>
          <w:sz w:val="2"/>
          <w:szCs w:val="2"/>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Address of Principal Executive Office (Street and Number)</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firstLine="720"/>
        <w:rPr>
          <w:rFonts w:ascii="Times New Roman" w:eastAsia="Times New Roman" w:hAnsi="Times New Roman" w:cs="Times New Roman"/>
          <w:sz w:val="30"/>
          <w:szCs w:val="30"/>
        </w:rPr>
      </w:pPr>
      <w:r>
        <w:rPr>
          <w:rFonts w:ascii="times new roman" w:eastAsia="times new roman" w:hAnsi="times new roman" w:cs="times new roman"/>
          <w:b/>
          <w:bCs/>
          <w:sz w:val="24"/>
          <w:szCs w:val="24"/>
        </w:rPr>
        <w:t>Lafayette, Louisiana 70508</w:t>
      </w:r>
    </w:p>
    <w:p>
      <w:pPr>
        <w:pBdr>
          <w:top w:val="single" w:sz="8" w:color="000000"/>
        </w:pBdr>
        <w:spacing w:before="60" w:after="60" w:lineRule="atLeast" w:line="240"/>
        <w:ind w:left="0" w:right="0"/>
        <w:rPr>
          <w:rFonts w:ascii="Times New Roman" w:eastAsia="Times New Roman" w:hAnsi="Times New Roman" w:cs="Times New Roman"/>
          <w:sz w:val="2"/>
          <w:szCs w:val="2"/>
        </w:rPr>
      </w:pPr>
      <w:r>
        <w:rPr>
          <w:rFonts w:ascii="Times New Roman" w:eastAsia="Times New Roman" w:hAnsi="Times New Roman" w:cs="Times New Roman"/>
          <w:sz w:val="2"/>
          <w:szCs w:val="2"/>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City, State and Zip Code</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PART II – RULES 12b-25(b) AND (c)</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If the subject report could not be filed without unreasonable effort or expense and the registrant seeks relief pursuant to Rule 12b-25(b), the following should be completed. (Check box if appropriate)</w:t>
      </w: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720" w:type="dxa"/>
            <w:tcBorders>
              <w:right w:val="single" w:sz="8" w:color="000000"/>
            </w:tcBorders>
            <w:tcMar>
              <w:top w:w="0" w:type="dxa"/>
              <w:left w:w="108" w:type="dxa"/>
              <w:bottom w:w="240" w:type="dxa"/>
              <w:right w:w="108"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tcMar>
              <w:top w:w="0" w:type="dxa"/>
              <w:left w:w="108" w:type="dxa"/>
              <w:bottom w:w="0" w:type="dxa"/>
              <w:right w:w="108" w:type="dxa"/>
            </w:tcMar>
            <w:vAlign w:val="top"/>
          </w:tcPr>
          <w:p>
            <w:pPr>
              <w:spacing w:before="0" w:after="0" w:lineRule="atLeast" w:line="240"/>
              <w:ind w:left="432" w:right="0" w:hanging="36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(a)   The reason described in reasonable detail in Part III of this form could not be eliminated without unreasonable effort or expense; </w:t>
            </w:r>
          </w:p>
          <w:p>
            <w:pPr>
              <w:spacing w:before="0" w:after="0" w:lineRule="atLeast" w:line="240"/>
              <w:ind w:left="432" w:right="0" w:hanging="36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(b)   The subject annual report, semi-annual report, transition report on Form 10-K, Form 20-F, Form 11-K, Form N-CEN or Form N-CSR, or portion thereof, will be filed on or before the fifteenth calendar day following the prescribed due date; or the subject quarterly report or transition report on Form 10-Q or subject distribution report on Form 10-D, or portion thereof, will be filed on or before the fifth calendar day following the prescribed due date; and </w:t>
            </w:r>
          </w:p>
          <w:p>
            <w:pPr>
              <w:spacing w:before="0" w:after="0" w:lineRule="atLeast" w:line="240"/>
              <w:ind w:left="432" w:right="0" w:hanging="36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(c)   The accountant’s statement or other exhibit required by Rule 12b-25(c) has been attached if applicable.</w:t>
            </w:r>
          </w:p>
          <w:p>
            <w:pPr>
              <w:spacing w:before="0" w:after="0" w:lineRule="atLeast" w:line="240"/>
              <w:ind w:left="432" w:right="0" w:hanging="360"/>
              <w:jc w:val="both"/>
              <w:rPr>
                <w:rFonts w:ascii="Times New Roman" w:eastAsia="Times New Roman" w:hAnsi="Times New Roman" w:cs="Times New Roman"/>
                <w:sz w:val="30"/>
                <w:szCs w:val="30"/>
              </w:rPr>
            </w:pPr>
          </w:p>
        </w:tc>
      </w:tr>
    </w:tbl>
    <w:p>
      <w:pPr>
        <w:pBdr>
          <w:bottom w:val="single" w:sz="16" w:color="000000"/>
        </w:pBdr>
        <w:spacing w:before="120" w:after="120" w:lineRule="atLeast" w:line="240"/>
        <w:ind w:left="0" w:right="0"/>
        <w:jc w:val="center"/>
        <w:rPr>
          <w:rFonts w:ascii="Times New Roman" w:eastAsia="Times New Roman" w:hAnsi="Times New Roman" w:cs="Times New Roman"/>
          <w:sz w:val="30"/>
          <w:szCs w:val="30"/>
        </w:rPr>
      </w:pPr>
    </w:p>
    <w:p>
      <w:pPr>
        <w:pageBreakBefore/>
        <w:spacing w:before="120" w:after="12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PART III – NARRATIVE</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State below in reasonable detail why Forms 10-K, 20-F, 11-K, 10-Q, 10-D, N-CEN, N-CSR, or the transition report or portion thereof, could not be filed within the prescribed time period. (Attach extra Sheets if Needed)</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The Registrant’s Quarterly Report on Form 10-Q for the three and six month periods ended December 31, 2021 could not be completed and filed by February 14, 2022, the prescribed due date, without undue hardship and expense to the Registrant, as the Registrant’s independent auditors have not yet had sufficient time to audit the Registrant’s financial statements for the fiscal year ended June 30, 2021 or review the compilation of the Registrant’s unaudited financial statements for the three month period ended September 30, 2021 and the three and six month periods ended December 31, 2021. The Registrant does not anticipate that it will file the Quarterly Report within the extension period of five calendar days provided under Rule 12b-25 of the Securities Exchange Act of 1934, as amended.</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PART IV – OTHER INFORMATION</w:t>
      </w:r>
    </w:p>
    <w:p>
      <w:pPr>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547"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(1)</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Name and telephone number of the person to contact in regard to this notification</w:t>
            </w:r>
          </w:p>
        </w:tc>
      </w:tr>
    </w:tbl>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100" w:type="pct"/>
            <w:tcMar>
              <w:top w:w="0" w:type="dxa"/>
              <w:left w:w="108" w:type="dxa"/>
              <w:bottom w:w="0" w:type="dxa"/>
              <w:right w:w="108"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2300" w:type="pct"/>
            <w:tcBorders>
              <w:bottom w:val="single" w:sz="8" w:color="000000"/>
            </w:tcBorders>
            <w:tcMar>
              <w:top w:w="0" w:type="dxa"/>
              <w:left w:w="108" w:type="dxa"/>
              <w:bottom w:w="0" w:type="dxa"/>
              <w:right w:w="108" w:type="dxa"/>
            </w:tcMar>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G. Darcy Klug</w:t>
            </w:r>
          </w:p>
        </w:tc>
        <w:tc>
          <w:tcPr>
            <w:tcW w:w="50" w:type="pct"/>
            <w:tcMar>
              <w:top w:w="0" w:type="dxa"/>
              <w:left w:w="108" w:type="dxa"/>
              <w:bottom w:w="0" w:type="dxa"/>
              <w:right w:w="108"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750" w:type="pct"/>
            <w:tcBorders>
              <w:bottom w:val="single" w:sz="8" w:color="000000"/>
            </w:tcBorders>
            <w:tcMar>
              <w:top w:w="0" w:type="dxa"/>
              <w:left w:w="108" w:type="dxa"/>
              <w:bottom w:w="0" w:type="dxa"/>
              <w:right w:w="108" w:type="dxa"/>
            </w:tcMar>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(337)</w:t>
            </w:r>
          </w:p>
        </w:tc>
        <w:tc>
          <w:tcPr>
            <w:tcW w:w="50" w:type="pct"/>
            <w:tcMar>
              <w:top w:w="0" w:type="dxa"/>
              <w:left w:w="108" w:type="dxa"/>
              <w:bottom w:w="0" w:type="dxa"/>
              <w:right w:w="108"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1750" w:type="pct"/>
            <w:tcBorders>
              <w:bottom w:val="single" w:sz="8" w:color="000000"/>
            </w:tcBorders>
            <w:tcMar>
              <w:top w:w="0" w:type="dxa"/>
              <w:left w:w="108" w:type="dxa"/>
              <w:bottom w:w="0" w:type="dxa"/>
              <w:right w:w="108" w:type="dxa"/>
            </w:tcMar>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269-5933</w:t>
            </w:r>
          </w:p>
        </w:tc>
      </w:tr>
      <w:tr>
        <w:tc>
          <w:tcPr>
            <w:tcMar>
              <w:top w:w="0" w:type="dxa"/>
              <w:left w:w="108" w:type="dxa"/>
              <w:bottom w:w="0" w:type="dxa"/>
              <w:right w:w="108"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0" w:type="dxa"/>
              <w:left w:w="108" w:type="dxa"/>
              <w:bottom w:w="0" w:type="dxa"/>
              <w:right w:w="108" w:type="dxa"/>
            </w:tcMar>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(Name)</w:t>
            </w:r>
          </w:p>
        </w:tc>
        <w:tc>
          <w:tcPr>
            <w:tcMar>
              <w:top w:w="0" w:type="dxa"/>
              <w:left w:w="108" w:type="dxa"/>
              <w:bottom w:w="0" w:type="dxa"/>
              <w:right w:w="108"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0" w:type="dxa"/>
              <w:left w:w="108" w:type="dxa"/>
              <w:bottom w:w="0" w:type="dxa"/>
              <w:right w:w="108" w:type="dxa"/>
            </w:tcMar>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(Area Code)</w:t>
            </w:r>
          </w:p>
        </w:tc>
        <w:tc>
          <w:tcPr>
            <w:tcMar>
              <w:top w:w="0" w:type="dxa"/>
              <w:left w:w="108" w:type="dxa"/>
              <w:bottom w:w="0" w:type="dxa"/>
              <w:right w:w="108"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0" w:type="dxa"/>
              <w:left w:w="108" w:type="dxa"/>
              <w:bottom w:w="0" w:type="dxa"/>
              <w:right w:w="108" w:type="dxa"/>
            </w:tcMar>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(Telephone Number)</w:t>
            </w:r>
          </w:p>
        </w:tc>
      </w:tr>
    </w:tbl>
    <w:p>
      <w:pPr>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547"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(2)</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Have all other periodic reports required under Section 13 or 15(d) of the Securities Exchange Act of 1934 or Section 30 of the Investment Company Act of 1940 during the preceding 12 months or for such shorter period that the registrant was required to file such report(s) been filed? If answer is no, identify report(s).</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0" w:type="dxa"/>
              <w:left w:w="0" w:type="dxa"/>
              <w:bottom w:w="0" w:type="dxa"/>
              <w:right w:w="500" w:type="dxa"/>
            </w:tcMar>
            <w:vAlign w:val="top"/>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Yes ☐ No ☒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0" w:type="dxa"/>
              <w:right w:w="500" w:type="dxa"/>
            </w:tcMar>
            <w:vAlign w:val="top"/>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0" w:type="dxa"/>
              <w:left w:w="0" w:type="dxa"/>
              <w:bottom w:w="0" w:type="dxa"/>
              <w:right w:w="500"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The Registrant’s independent auditors have not yet had sufficient time to audit the Registrant’s financial statements for the fiscal year ended June 30, 2021.</w:t>
            </w:r>
          </w:p>
        </w:tc>
      </w:tr>
    </w:tbl>
    <w:p>
      <w:pPr>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547"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(3)</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Is it anticipated that any significant change in results of operations from the corresponding period for the last fiscal year will be reflected by the earnings statements to be included in the subject report or portion thereof?</w:t>
            </w:r>
          </w:p>
        </w:tc>
      </w:tr>
    </w:tbl>
    <w:p>
      <w:pPr>
        <w:spacing w:before="0" w:after="0" w:lineRule="atLeast" w:line="240"/>
        <w:ind w:left="0" w:right="500"/>
        <w:jc w:val="right"/>
        <w:rPr>
          <w:rFonts w:ascii="Times New Roman" w:eastAsia="Times New Roman" w:hAnsi="Times New Roman" w:cs="Times New Roman"/>
          <w:sz w:val="30"/>
          <w:szCs w:val="30"/>
        </w:rPr>
      </w:pPr>
      <w:r>
        <w:rPr>
          <w:rFonts w:ascii="times new roman" w:eastAsia="times new roman" w:hAnsi="times new roman" w:cs="times new roman"/>
          <w:sz w:val="20"/>
          <w:szCs w:val="20"/>
        </w:rPr>
        <w:t>Yes ☐ No ☒</w:t>
      </w:r>
    </w:p>
    <w:p>
      <w:pPr>
        <w:spacing w:before="0" w:after="0" w:lineRule="atLeast" w:line="240"/>
        <w:ind w:left="0" w:right="500"/>
        <w:jc w:val="right"/>
        <w:rPr>
          <w:rFonts w:ascii="Times New Roman" w:eastAsia="Times New Roman" w:hAnsi="Times New Roman" w:cs="Times New Roman"/>
          <w:sz w:val="30"/>
          <w:szCs w:val="30"/>
        </w:rPr>
      </w:pPr>
    </w:p>
    <w:p>
      <w:pPr>
        <w:spacing w:before="0" w:after="0" w:lineRule="atLeast" w:line="240"/>
        <w:ind w:left="547"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If so, attach an explanation of the anticipated change, both narratively and quantitatively, and, if appropriate, state the reasons why a reasonable estimate of the results cannot be made.</w:t>
      </w:r>
    </w:p>
    <w:p>
      <w:pPr>
        <w:spacing w:before="0" w:after="0" w:lineRule="atLeast" w:line="240"/>
        <w:ind w:left="547" w:right="0"/>
        <w:jc w:val="both"/>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5000" w:type="pct"/>
            <w:tcBorders>
              <w:bottom w:val="single" w:sz="8" w:color="000000"/>
            </w:tcBorders>
            <w:tcMar>
              <w:top w:w="0" w:type="dxa"/>
              <w:left w:w="108" w:type="dxa"/>
              <w:bottom w:w="0" w:type="dxa"/>
              <w:right w:w="108" w:type="dxa"/>
            </w:tcMar>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24"/>
                <w:szCs w:val="24"/>
              </w:rPr>
              <w:t>RedHawk Holdings Corp.</w:t>
            </w:r>
          </w:p>
        </w:tc>
      </w:tr>
      <w:tr>
        <w:tc>
          <w:tcPr>
            <w:tcMar>
              <w:top w:w="0" w:type="dxa"/>
              <w:left w:w="108" w:type="dxa"/>
              <w:bottom w:w="0" w:type="dxa"/>
              <w:right w:w="108" w:type="dxa"/>
            </w:tcMar>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(Name of Registrant as Specified in Charter)</w:t>
            </w:r>
          </w:p>
        </w:tc>
      </w:tr>
    </w:tbl>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has caused this notification to be signed on its behalf by the undersigned hereunto duly authorized.</w:t>
      </w: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3250" w:type="pct"/>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Date: February 14, 2022</w:t>
            </w:r>
          </w:p>
        </w:tc>
        <w:tc>
          <w:tcPr>
            <w:tcW w:w="150" w:type="pct"/>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By</w:t>
            </w:r>
          </w:p>
        </w:tc>
        <w:tc>
          <w:tcPr>
            <w:tcW w:w="1600" w:type="pct"/>
            <w:tcBorders>
              <w:bottom w:val="single" w:sz="8" w:color="000000"/>
            </w:tcBorders>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/s/ </w:t>
            </w:r>
            <w:r>
              <w:rPr>
                <w:rFonts w:ascii="times new roman" w:eastAsia="times new roman" w:hAnsi="times new roman" w:cs="times new roman"/>
                <w:i/>
                <w:sz w:val="20"/>
                <w:szCs w:val="20"/>
              </w:rPr>
              <w:t>G. Darcy Klug</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0" w:type="dxa"/>
              <w:left w:w="180" w:type="dxa"/>
              <w:bottom w:w="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G. Darcy Klug</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0" w:type="dxa"/>
              <w:left w:w="180" w:type="dxa"/>
              <w:bottom w:w="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Chief Financial Officer and Director</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0" w:type="dxa"/>
              <w:left w:w="180" w:type="dxa"/>
              <w:bottom w:w="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(Authorized representative)</w:t>
            </w:r>
          </w:p>
        </w:tc>
      </w:tr>
    </w:tbl>
    <w:p>
      <w:pPr>
        <w:spacing w:before="0" w:after="0" w:lineRule="atLeast" w:line="240"/>
        <w:ind w:left="0" w:right="0"/>
        <w:rPr>
          <w:rFonts w:ascii="Times New Roman" w:eastAsia="Times New Roman" w:hAnsi="Times New Roman" w:cs="Times New Roman"/>
          <w:sz w:val="30"/>
          <w:szCs w:val="30"/>
        </w:rPr>
      </w:pPr>
    </w:p>
    <w:p>
      <w:pPr>
        <w:pBdr>
          <w:bottom w:val="single" w:sz="16" w:color="000000"/>
        </w:pBdr>
        <w:spacing w:before="120" w:after="120" w:lineRule="atLeast" w:line="240"/>
        <w:ind w:left="0" w:right="0"/>
        <w:jc w:val="center"/>
        <w:rPr>
          <w:rFonts w:ascii="Times New Roman" w:eastAsia="Times New Roman" w:hAnsi="Times New Roman" w:cs="Times New Roman"/>
          <w:sz w:val="30"/>
          <w:szCs w:val="30"/>
        </w:rPr>
      </w:pPr>
    </w:p>
    <w:sectPr>
      <w:pgSz w:w="11907" w:h="16839" w:code="9"/>
      <w:pgMar w:top="200" w:right="300" w:bottom="200" w:left="2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6F8D"/>
    <w:rsid w:val="00806F8D"/>
    <w:rsid w:val="00E045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rPr>
    </w:rPrDefault>
    <w:pPrDefault>
      <w:pPr>
        <w:spacing w:after="200" w:lineRule="auto" w:line="276"/>
      </w:pPr>
    </w:pPrDefault>
  </w:docDefaults>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styles" Target="styles.xml" /><Relationship Id="rId3"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