
<file path=[Content_Types].xml><?xml version="1.0" encoding="utf-8"?>
<Types xmlns="http://schemas.openxmlformats.org/package/2006/content-types">
  <Default Extension="xml" ContentType="applicatio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webSettings.xml" ContentType="application/vnd.openxmlformats-officedocument.wordprocessingml.webSettings+xml"/>
  <Override PartName="/word/theme/theme1.xml" ContentType="application/vnd.openxmlformats-officedocument.theme+xml"/>
</Types>
</file>

<file path=_rels/.rels>&#65279;<?xml version="1.0" encoding="UTF-8" standalone="yes"?><Relationships xmlns="http://schemas.openxmlformats.org/package/2006/relationships"><Relationship Id="rId2" Type="http://schemas.openxmlformats.org/package/2006/relationships/metadata/core-properties" Target="docProps/core.xml" /><Relationship Id="rId3" Type="http://schemas.openxmlformats.org/officeDocument/2006/relationships/extended-properties" Target="docProps/app.xml" /><Relationship Id="rId1" Type="http://schemas.openxmlformats.org/officeDocument/2006/relationships/officeDocument" Target="word/document.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p14">
  <w:body>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NT 10-K </w:t>
      </w:r>
      <w:r>
        <w:rPr>
          <w:rFonts w:ascii="Times New Roman" w:eastAsia="Times New Roman" w:hAnsi="Times New Roman" w:cs="Times New Roman"/>
          <w:sz w:val="30"/>
          <w:szCs w:val="30"/>
        </w:rPr>
        <w:t xml:space="preserve">1 </w:t>
      </w:r>
      <w:r>
        <w:rPr>
          <w:rFonts w:ascii="Times New Roman" w:eastAsia="Times New Roman" w:hAnsi="Times New Roman" w:cs="Times New Roman"/>
          <w:sz w:val="30"/>
          <w:szCs w:val="30"/>
        </w:rPr>
        <w:t xml:space="preserve">extf10k2019_bantekinc.htm </w:t>
      </w:r>
      <w:r>
        <w:rPr>
          <w:rFonts w:ascii="Times New Roman" w:eastAsia="Times New Roman" w:hAnsi="Times New Roman" w:cs="Times New Roman"/>
          <w:sz w:val="30"/>
          <w:szCs w:val="30"/>
        </w:rPr>
        <w:t>NOTIFICATION OF LATE FILING</w:t>
      </w:r>
    </w:p>
    <w:p>
      <w:pPr>
        <w:pBdr>
          <w:top w:val="single" w:sz="16" w:color="000000"/>
          <w:bottom w:val="single" w:sz="8" w:color="000000"/>
        </w:pBdr>
        <w:spacing w:before="0" w:after="0" w:lineRule="atLeast" w:line="240"/>
        <w:ind w:left="0" w:right="0"/>
        <w:rPr>
          <w:rFonts w:ascii="Times New Roman" w:eastAsia="Times New Roman" w:hAnsi="Times New Roman" w:cs="Times New Roman"/>
          <w:sz w:val="2"/>
          <w:szCs w:val="2"/>
        </w:rPr>
      </w:pPr>
      <w:r>
        <w:rPr>
          <w:rFonts w:ascii="Times New Roman" w:eastAsia="Times New Roman" w:hAnsi="Times New Roman" w:cs="Times New Roman"/>
          <w:sz w:val="2"/>
          <w:szCs w:val="2"/>
        </w:rPr>
        <w:t xml:space="preserve"> </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8"/>
          <w:szCs w:val="28"/>
        </w:rPr>
        <w:t>UNITED STATES</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8"/>
          <w:szCs w:val="28"/>
        </w:rPr>
        <w:t>SECURITIES AND EXCHANGE COMMISSION</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Washington, D.C. 20549</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8"/>
          <w:szCs w:val="28"/>
        </w:rPr>
        <w:t>FORM 12b-25</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NOTIFICATION OF LATE FILING</w:t>
      </w:r>
    </w:p>
    <w:p>
      <w:pPr>
        <w:spacing w:before="0" w:after="0" w:lineRule="atLeast" w:line="240"/>
        <w:ind w:left="0" w:right="0"/>
        <w:jc w:val="center"/>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750" w:type="pct"/>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i/>
                <w:sz w:val="20"/>
                <w:szCs w:val="20"/>
              </w:rPr>
              <w:t>(Check one):</w:t>
            </w:r>
          </w:p>
        </w:tc>
        <w:tc>
          <w:tcPr>
            <w:tcW w:w="4250" w:type="pct"/>
            <w:tcMar>
              <w:top w:w="15" w:type="dxa"/>
              <w:left w:w="15" w:type="dxa"/>
              <w:bottom w:w="15" w:type="dxa"/>
              <w:right w:w="15" w:type="dxa"/>
            </w:tcMar>
            <w:vAlign w:val="top"/>
          </w:tcPr>
          <w:p>
            <w:pPr>
              <w:spacing w:before="0" w:after="0" w:lineRule="atLeast" w:line="240"/>
              <w:ind w:left="0" w:right="16"/>
              <w:rPr>
                <w:rFonts w:ascii="Times New Roman" w:eastAsia="Times New Roman" w:hAnsi="Times New Roman" w:cs="Times New Roman"/>
                <w:sz w:val="30"/>
                <w:szCs w:val="30"/>
              </w:rPr>
            </w:pPr>
            <w:r>
              <w:rPr>
                <w:rFonts w:ascii="times new roman" w:eastAsia="times new roman" w:hAnsi="times new roman" w:cs="times new roman"/>
                <w:sz w:val="20"/>
                <w:szCs w:val="20"/>
              </w:rPr>
              <w:t>☒ Form 10-K   ☐ Form 20-F   ☐ Form 11-K   ☐ Form 10-Q   ☐ Form 10-D</w:t>
            </w:r>
          </w:p>
          <w:p>
            <w:pPr>
              <w:spacing w:before="0" w:after="0" w:lineRule="atLeast" w:line="240"/>
              <w:ind w:left="0" w:right="16"/>
              <w:rPr>
                <w:rFonts w:ascii="Times New Roman" w:eastAsia="Times New Roman" w:hAnsi="Times New Roman" w:cs="Times New Roman"/>
                <w:sz w:val="30"/>
                <w:szCs w:val="30"/>
              </w:rPr>
            </w:pPr>
            <w:r>
              <w:rPr>
                <w:rFonts w:ascii="times new roman" w:eastAsia="times new roman" w:hAnsi="times new roman" w:cs="times new roman"/>
                <w:sz w:val="20"/>
                <w:szCs w:val="20"/>
              </w:rPr>
              <w:t>☐ Form N-SAR   ☐ Form N-CSR</w:t>
            </w:r>
          </w:p>
        </w:tc>
      </w:tr>
      <w:tr>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15" w:type="dxa"/>
              <w:left w:w="15" w:type="dxa"/>
              <w:bottom w:w="15" w:type="dxa"/>
              <w:right w:w="15" w:type="dxa"/>
            </w:tcMar>
            <w:vAlign w:val="top"/>
          </w:tcPr>
          <w:p>
            <w:pPr>
              <w:spacing w:before="0" w:after="0" w:lineRule="atLeast" w:line="240"/>
              <w:ind w:left="0" w:right="16"/>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For Period Ended: </w:t>
            </w:r>
            <w:r>
              <w:rPr>
                <w:rFonts w:ascii="times new roman" w:eastAsia="times new roman" w:hAnsi="times new roman" w:cs="times new roman"/>
                <w:b/>
                <w:bCs/>
                <w:sz w:val="20"/>
                <w:szCs w:val="20"/>
              </w:rPr>
              <w:t>September 30, 2019</w:t>
            </w:r>
          </w:p>
          <w:p>
            <w:pPr>
              <w:spacing w:before="0" w:after="0" w:lineRule="atLeast" w:line="240"/>
              <w:ind w:left="0" w:right="16"/>
              <w:rPr>
                <w:rFonts w:ascii="Times New Roman" w:eastAsia="Times New Roman" w:hAnsi="Times New Roman" w:cs="Times New Roman"/>
                <w:sz w:val="30"/>
                <w:szCs w:val="30"/>
              </w:rPr>
            </w:pPr>
          </w:p>
          <w:p>
            <w:pPr>
              <w:spacing w:before="0" w:after="0" w:lineRule="atLeast" w:line="240"/>
              <w:ind w:left="0" w:right="16"/>
              <w:rPr>
                <w:rFonts w:ascii="Times New Roman" w:eastAsia="Times New Roman" w:hAnsi="Times New Roman" w:cs="Times New Roman"/>
                <w:sz w:val="30"/>
                <w:szCs w:val="30"/>
              </w:rPr>
            </w:pPr>
            <w:r>
              <w:rPr>
                <w:rFonts w:ascii="times new roman" w:eastAsia="times new roman" w:hAnsi="times new roman" w:cs="times new roman"/>
                <w:sz w:val="20"/>
                <w:szCs w:val="20"/>
              </w:rPr>
              <w:t>☐ Transition Report on Form 10-K</w:t>
            </w:r>
          </w:p>
          <w:p>
            <w:pPr>
              <w:spacing w:before="0" w:after="0" w:lineRule="atLeast" w:line="240"/>
              <w:ind w:left="0" w:right="16"/>
              <w:rPr>
                <w:rFonts w:ascii="Times New Roman" w:eastAsia="Times New Roman" w:hAnsi="Times New Roman" w:cs="Times New Roman"/>
                <w:sz w:val="30"/>
                <w:szCs w:val="30"/>
              </w:rPr>
            </w:pPr>
          </w:p>
          <w:p>
            <w:pPr>
              <w:spacing w:before="0" w:after="0" w:lineRule="atLeast" w:line="240"/>
              <w:ind w:left="0" w:right="16"/>
              <w:rPr>
                <w:rFonts w:ascii="Times New Roman" w:eastAsia="Times New Roman" w:hAnsi="Times New Roman" w:cs="Times New Roman"/>
                <w:sz w:val="30"/>
                <w:szCs w:val="30"/>
              </w:rPr>
            </w:pPr>
            <w:r>
              <w:rPr>
                <w:rFonts w:ascii="times new roman" w:eastAsia="times new roman" w:hAnsi="times new roman" w:cs="times new roman"/>
                <w:sz w:val="20"/>
                <w:szCs w:val="20"/>
              </w:rPr>
              <w:t>☐ Transition Report on Form 20-F</w:t>
            </w:r>
          </w:p>
          <w:p>
            <w:pPr>
              <w:spacing w:before="0" w:after="0" w:lineRule="atLeast" w:line="240"/>
              <w:ind w:left="0" w:right="16"/>
              <w:rPr>
                <w:rFonts w:ascii="Times New Roman" w:eastAsia="Times New Roman" w:hAnsi="Times New Roman" w:cs="Times New Roman"/>
                <w:sz w:val="30"/>
                <w:szCs w:val="30"/>
              </w:rPr>
            </w:pPr>
          </w:p>
          <w:p>
            <w:pPr>
              <w:spacing w:before="0" w:after="0" w:lineRule="atLeast" w:line="240"/>
              <w:ind w:left="0" w:right="16"/>
              <w:rPr>
                <w:rFonts w:ascii="Times New Roman" w:eastAsia="Times New Roman" w:hAnsi="Times New Roman" w:cs="Times New Roman"/>
                <w:sz w:val="30"/>
                <w:szCs w:val="30"/>
              </w:rPr>
            </w:pPr>
            <w:r>
              <w:rPr>
                <w:rFonts w:ascii="times new roman" w:eastAsia="times new roman" w:hAnsi="times new roman" w:cs="times new roman"/>
                <w:sz w:val="20"/>
                <w:szCs w:val="20"/>
              </w:rPr>
              <w:t>☐ Transition Report on Form 11-K</w:t>
            </w:r>
          </w:p>
          <w:p>
            <w:pPr>
              <w:spacing w:before="0" w:after="0" w:lineRule="atLeast" w:line="240"/>
              <w:ind w:left="0" w:right="16"/>
              <w:rPr>
                <w:rFonts w:ascii="Times New Roman" w:eastAsia="Times New Roman" w:hAnsi="Times New Roman" w:cs="Times New Roman"/>
                <w:sz w:val="30"/>
                <w:szCs w:val="30"/>
              </w:rPr>
            </w:pPr>
          </w:p>
          <w:p>
            <w:pPr>
              <w:spacing w:before="0" w:after="0" w:lineRule="atLeast" w:line="240"/>
              <w:ind w:left="0" w:right="16"/>
              <w:rPr>
                <w:rFonts w:ascii="Times New Roman" w:eastAsia="Times New Roman" w:hAnsi="Times New Roman" w:cs="Times New Roman"/>
                <w:sz w:val="30"/>
                <w:szCs w:val="30"/>
              </w:rPr>
            </w:pPr>
            <w:r>
              <w:rPr>
                <w:rFonts w:ascii="times new roman" w:eastAsia="times new roman" w:hAnsi="times new roman" w:cs="times new roman"/>
                <w:sz w:val="20"/>
                <w:szCs w:val="20"/>
              </w:rPr>
              <w:t>☐ Transition Report on Form 10-Q</w:t>
            </w:r>
          </w:p>
          <w:p>
            <w:pPr>
              <w:spacing w:before="0" w:after="0" w:lineRule="atLeast" w:line="240"/>
              <w:ind w:left="0" w:right="16"/>
              <w:rPr>
                <w:rFonts w:ascii="Times New Roman" w:eastAsia="Times New Roman" w:hAnsi="Times New Roman" w:cs="Times New Roman"/>
                <w:sz w:val="30"/>
                <w:szCs w:val="30"/>
              </w:rPr>
            </w:pPr>
          </w:p>
          <w:p>
            <w:pPr>
              <w:spacing w:before="0" w:after="0" w:lineRule="atLeast" w:line="240"/>
              <w:ind w:left="0" w:right="16"/>
              <w:rPr>
                <w:rFonts w:ascii="Times New Roman" w:eastAsia="Times New Roman" w:hAnsi="Times New Roman" w:cs="Times New Roman"/>
                <w:sz w:val="30"/>
                <w:szCs w:val="30"/>
              </w:rPr>
            </w:pPr>
            <w:r>
              <w:rPr>
                <w:rFonts w:ascii="times new roman" w:eastAsia="times new roman" w:hAnsi="times new roman" w:cs="times new roman"/>
                <w:sz w:val="20"/>
                <w:szCs w:val="20"/>
              </w:rPr>
              <w:t>☐ Transition Report on Form N-SAR</w:t>
            </w:r>
          </w:p>
          <w:p>
            <w:pPr>
              <w:spacing w:before="0" w:after="0" w:lineRule="atLeast" w:line="240"/>
              <w:ind w:left="0" w:right="16"/>
              <w:rPr>
                <w:rFonts w:ascii="Times New Roman" w:eastAsia="Times New Roman" w:hAnsi="Times New Roman" w:cs="Times New Roman"/>
                <w:sz w:val="30"/>
                <w:szCs w:val="30"/>
              </w:rPr>
            </w:pPr>
          </w:p>
          <w:p>
            <w:pPr>
              <w:spacing w:before="0" w:after="0" w:lineRule="atLeast" w:line="240"/>
              <w:ind w:left="0" w:right="16"/>
              <w:rPr>
                <w:rFonts w:ascii="Times New Roman" w:eastAsia="Times New Roman" w:hAnsi="Times New Roman" w:cs="Times New Roman"/>
                <w:sz w:val="30"/>
                <w:szCs w:val="30"/>
              </w:rPr>
            </w:pPr>
            <w:r>
              <w:rPr>
                <w:rFonts w:ascii="times new roman" w:eastAsia="times new roman" w:hAnsi="times new roman" w:cs="times new roman"/>
                <w:sz w:val="20"/>
                <w:szCs w:val="20"/>
              </w:rPr>
              <w:t>For the Transition Period Ended: _______________________</w:t>
            </w:r>
          </w:p>
        </w:tc>
      </w:tr>
    </w:tbl>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0" w:type="pct"/>
            <w:tcBorders>
              <w:top w:val="single" w:sz="12" w:color="000000"/>
              <w:left w:val="single" w:sz="12" w:color="000000"/>
              <w:bottom w:val="single" w:sz="12" w:color="000000"/>
              <w:right w:val="single" w:sz="12" w:color="000000"/>
            </w:tcBorders>
            <w:tcMar>
              <w:top w:w="15" w:type="dxa"/>
              <w:left w:w="15" w:type="dxa"/>
              <w:bottom w:w="15" w:type="dxa"/>
              <w:right w:w="15" w:type="dxa"/>
            </w:tcMar>
            <w:vAlign w:val="top"/>
          </w:tcPr>
          <w:p>
            <w:pPr>
              <w:spacing w:before="0" w:after="0" w:lineRule="atLeast" w:line="240"/>
              <w:ind w:left="45" w:right="0"/>
              <w:jc w:val="center"/>
              <w:rPr>
                <w:rFonts w:ascii="Times New Roman" w:eastAsia="Times New Roman" w:hAnsi="Times New Roman" w:cs="Times New Roman"/>
                <w:sz w:val="30"/>
                <w:szCs w:val="30"/>
              </w:rPr>
            </w:pPr>
            <w:r>
              <w:rPr>
                <w:rFonts w:ascii="times new roman" w:eastAsia="times new roman" w:hAnsi="times new roman" w:cs="times new roman"/>
                <w:i/>
                <w:sz w:val="20"/>
                <w:szCs w:val="20"/>
              </w:rPr>
              <w:t>Read Instructions (on back page) Before Preparing Form. Please Print or Type.</w:t>
            </w:r>
          </w:p>
          <w:p>
            <w:pPr>
              <w:spacing w:before="0" w:after="0" w:lineRule="atLeast" w:line="240"/>
              <w:ind w:left="45"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Nothing in this form shall be construed to imply that the Commission has verified any information contained herein.</w:t>
            </w:r>
          </w:p>
        </w:tc>
      </w:tr>
    </w:tbl>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If the notification relates to a portion of the filing checked above, identify the Item(s) to which the notification relates: _________________________________</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PART I — REGISTRANT INFORMATION</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5000" w:type="pct"/>
            <w:tcBorders>
              <w:bottom w:val="single" w:sz="12" w:color="000000"/>
            </w:tcBorders>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BANTEK, INC.</w:t>
            </w:r>
          </w:p>
        </w:tc>
      </w:tr>
      <w:tr>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Full Name of Registrant</w:t>
            </w:r>
          </w:p>
        </w:tc>
      </w:tr>
      <w:tr>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tcBorders>
              <w:bottom w:val="single" w:sz="12" w:color="000000"/>
            </w:tcBorders>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DRONE USA, INC.</w:t>
            </w:r>
          </w:p>
        </w:tc>
      </w:tr>
      <w:tr>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Former Name if Applicable</w:t>
            </w:r>
          </w:p>
        </w:tc>
      </w:tr>
      <w:tr>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tcBorders>
              <w:bottom w:val="single" w:sz="12" w:color="000000"/>
            </w:tcBorders>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330 Changebridge Road</w:t>
            </w:r>
          </w:p>
        </w:tc>
      </w:tr>
      <w:tr>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Address of Principal Executive Office (Street and Number)</w:t>
            </w:r>
          </w:p>
        </w:tc>
      </w:tr>
      <w:tr>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tcBorders>
              <w:bottom w:val="single" w:sz="12" w:color="000000"/>
            </w:tcBorders>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Pine Brook, NJ 07058</w:t>
            </w:r>
          </w:p>
        </w:tc>
      </w:tr>
      <w:tr>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City, State and Zip Code</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rPr>
          <w:rFonts w:ascii="Times New Roman" w:eastAsia="Times New Roman" w:hAnsi="Times New Roman" w:cs="Times New Roman"/>
          <w:sz w:val="30"/>
          <w:szCs w:val="30"/>
        </w:rPr>
      </w:pP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PART II — RULES 12b-25(b) AND (c)</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If the subject report could not be filed without unreasonable effort or expense and the registrant seeks relief pursuant to Rule 12b-25(b), the following should be completed. (Check box if appropriate)</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200" w:type="pct"/>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tcW w:w="200" w:type="pct"/>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(a)</w:t>
            </w:r>
          </w:p>
        </w:tc>
        <w:tc>
          <w:tcPr>
            <w:tcW w:w="4600" w:type="pct"/>
            <w:tcMar>
              <w:top w:w="0" w:type="dxa"/>
              <w:left w:w="0" w:type="dxa"/>
              <w:bottom w:w="0" w:type="dxa"/>
              <w:right w:w="16" w:type="dxa"/>
            </w:tcMar>
            <w:vAlign w:val="top"/>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20"/>
                <w:szCs w:val="20"/>
              </w:rPr>
              <w:t>The reason described in reasonable detail in Part III of this form could not be eliminated without unreasonable effort or expense</w:t>
            </w:r>
          </w:p>
        </w:tc>
      </w:tr>
      <w:tr>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w:t>
            </w:r>
          </w:p>
        </w:tc>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(b)</w:t>
            </w:r>
          </w:p>
        </w:tc>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The subject annual report, semi-annual report, transition report on Form 10-K, Form 20-F, Form 11-K, Form N-SAR or Form N-CSR, or portion thereof, will be filed on or before the fifteenth calendar day following the prescribed due date; or the subject quarterly report or transition report on Form 10-Q or subject distribution report on Form 10-D, or portion thereof, will be filed on or before the fifth calendar day following the prescribed due date; and</w:t>
            </w:r>
          </w:p>
        </w:tc>
      </w:tr>
      <w:tr>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(c)</w:t>
            </w:r>
          </w:p>
        </w:tc>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The accountant's statement or other exhibit required by Rule 12b-25 has been attached if applicable.</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PART III — NARRATIVE</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State below in reasonable detail why Forms 10-K, 20-F, 11-K, 10-Q, 10-D, N-SAR, N-CSR, or the transition report or portion thereof, could not be filed within the prescribed time period.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The Company was unable to compile the necessary financial information required to prepare a complete filing. Thus, the Company would be unable to file the annual report in a timely manner without unreasonable effort or expense. The Company expects to file within the extension period.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b/>
          <w:bCs/>
          <w:sz w:val="20"/>
          <w:szCs w:val="20"/>
        </w:rPr>
        <w:t>PART IV — OTHER INFORMATION</w:t>
      </w: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200" w:type="pct"/>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(1)</w:t>
            </w:r>
          </w:p>
        </w:tc>
        <w:tc>
          <w:tcPr>
            <w:tcW w:w="4800" w:type="pct"/>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Name and telephone number of person to contact in regard to this notification</w:t>
            </w:r>
          </w:p>
        </w:tc>
      </w:tr>
    </w:tbl>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1600" w:type="pct"/>
            <w:tcBorders>
              <w:bottom w:val="single" w:sz="12" w:color="000000"/>
            </w:tcBorders>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Michael Bannon</w:t>
            </w:r>
          </w:p>
        </w:tc>
        <w:tc>
          <w:tcPr>
            <w:tcW w:w="100" w:type="pct"/>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1600" w:type="pct"/>
            <w:tcBorders>
              <w:bottom w:val="single" w:sz="12" w:color="000000"/>
            </w:tcBorders>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(203)</w:t>
            </w:r>
          </w:p>
        </w:tc>
        <w:tc>
          <w:tcPr>
            <w:tcW w:w="100" w:type="pct"/>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W w:w="1600" w:type="pct"/>
            <w:tcBorders>
              <w:bottom w:val="single" w:sz="12" w:color="000000"/>
            </w:tcBorders>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220-2296</w:t>
            </w:r>
          </w:p>
        </w:tc>
      </w:tr>
      <w:tr>
        <w:tc>
          <w:tcPr>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(Name)</w:t>
            </w:r>
          </w:p>
        </w:tc>
        <w:tc>
          <w:tcPr>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(Area Code)</w:t>
            </w:r>
          </w:p>
        </w:tc>
        <w:tc>
          <w:tcPr>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(Telephone Number)</w:t>
            </w:r>
          </w:p>
        </w:tc>
      </w:tr>
    </w:tbl>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200" w:type="pct"/>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(2)</w:t>
            </w:r>
          </w:p>
        </w:tc>
        <w:tc>
          <w:tcPr>
            <w:tcW w:w="4800" w:type="pct"/>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Have all other periodic reports required under Section 13 or 15(d) of the Securities Exchange Act of 1934 or Section 30 of the Investment Company Act of 1940 during the preceding 12 months or for such shorter period that the registrant was required to file such report(s) been filed? If answer is no, identify report(s). ☒ Yes    ☐ No</w:t>
            </w:r>
          </w:p>
        </w:tc>
      </w:tr>
      <w:tr>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(3)</w:t>
            </w:r>
          </w:p>
        </w:tc>
        <w:tc>
          <w:tcPr>
            <w:tcMar>
              <w:top w:w="0" w:type="dxa"/>
              <w:left w:w="0" w:type="dxa"/>
              <w:bottom w:w="0" w:type="dxa"/>
              <w:right w:w="16" w:type="dxa"/>
            </w:tcMar>
            <w:vAlign w:val="top"/>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Is it anticipated that any significant change in results of operations from the corresponding period for the last fiscal year will be reflected by the earnings statements to be included in the subject report or portion thereof? ☐ Yes    ☒ No</w:t>
            </w:r>
          </w:p>
        </w:tc>
      </w:tr>
      <w:tr>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r>
      <w:tr>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If so, attach an explanation of the anticipated change, both narratively and quantitatively, and, if appropriate, state the reasons why a reasonable estimate of the results cannot be made.</w:t>
            </w:r>
          </w:p>
        </w:tc>
      </w:tr>
    </w:tbl>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240" w:after="12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w:t>
      </w:r>
    </w:p>
    <w:p>
      <w:pPr>
        <w:pageBreakBefore/>
        <w:spacing w:before="120" w:after="24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BANTEK, INC.</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(Name of Registrant as Specified in Charter)</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has caused this notification to be signed on its behalf by the undersigned hereunto duly authorized.</w:t>
      </w:r>
    </w:p>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3000" w:type="pct"/>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Date: </w:t>
            </w:r>
            <w:r>
              <w:rPr>
                <w:rFonts w:ascii="times new roman" w:eastAsia="times new roman" w:hAnsi="times new roman" w:cs="times new roman"/>
                <w:b/>
                <w:bCs/>
                <w:sz w:val="20"/>
                <w:szCs w:val="20"/>
              </w:rPr>
              <w:t>January 2, 2020</w:t>
            </w:r>
          </w:p>
        </w:tc>
        <w:tc>
          <w:tcPr>
            <w:tcW w:w="200" w:type="pct"/>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By:</w:t>
            </w:r>
          </w:p>
        </w:tc>
        <w:tc>
          <w:tcPr>
            <w:tcW w:w="1800" w:type="pct"/>
            <w:tcBorders>
              <w:bottom w:val="single" w:sz="12" w:color="000000"/>
            </w:tcBorders>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i/>
                <w:sz w:val="20"/>
                <w:szCs w:val="20"/>
              </w:rPr>
              <w:t>/s/ Michael Bannon</w:t>
            </w:r>
          </w:p>
        </w:tc>
      </w:tr>
      <w:tr>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Michael Bannon</w:t>
            </w:r>
          </w:p>
        </w:tc>
      </w:tr>
      <w:tr>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 </w:t>
            </w:r>
          </w:p>
        </w:tc>
        <w:tc>
          <w:tcPr>
            <w:tcMar>
              <w:top w:w="0" w:type="dxa"/>
              <w:left w:w="0" w:type="dxa"/>
              <w:bottom w:w="0" w:type="dxa"/>
              <w:right w:w="16" w:type="dxa"/>
            </w:tcMa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20"/>
                <w:szCs w:val="20"/>
              </w:rPr>
              <w:t>Chief Executive Officer</w:t>
            </w:r>
          </w:p>
        </w:tc>
      </w:tr>
    </w:tbl>
    <w:p>
      <w:pPr>
        <w:spacing w:before="0" w:after="0" w:lineRule="atLeast" w:line="240"/>
        <w:ind w:left="0" w:right="0"/>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p>
    <w:p>
      <w:pPr>
        <w:pBdr>
          <w:bottom w:val="single" w:sz="12" w:color="000000"/>
        </w:pBd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3</w:t>
      </w:r>
    </w:p>
    <w:sectPr>
      <w:pgSz w:w="11907" w:h="16839" w:code="9"/>
      <w:pgMar w:top="200" w:right="300" w:bottom="200" w:left="2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6F8D"/>
    <w:rsid w:val="00806F8D"/>
    <w:rsid w:val="00E045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rPr>
    </w:rPrDefault>
    <w:pPrDefault>
      <w:pPr>
        <w:spacing w:after="200" w:lineRule="auto" w:line="276"/>
      </w:pPr>
    </w:pPrDefault>
  </w:docDefaults>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styles" Target="styles.xml" /><Relationship Id="rId3"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